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666"/>
        <w:tblBorders>
          <w:top w:val="none" w:color="FFFFFF" w:sz="0"/>
          <w:left w:val="none" w:color="FFFFFF" w:sz="0"/>
          <w:bottom w:val="none" w:color="FFFFFF" w:sz="0"/>
          <w:right w:val="none" w:color="FFFFFF" w:sz="0"/>
          <w:insideH w:val="none" w:color="FFFFFF" w:sz="0"/>
          <w:insideV w:val="none" w:color="FFFFFF" w:sz="0"/>
        </w:tblBorders>
      </w:tblPr>
      <w:tblGrid>
        <w:gridCol w:w="2500"/>
        <w:gridCol w:w="8166"/>
      </w:tblGrid>
      <w:tr>
        <w:trPr>
          <w:cantSplit/>
        </w:trPr>
        <w:tc>
          <w:tcPr>
            <w:tcW w:type="dxa" w:w="2500"/>
            <w:shd w:fill="0B2A4A" w:color="auto" w:val="clear"/>
            <w:tcMar>
              <w:top w:type="dxa" w:w="200"/>
              <w:left w:type="dxa" w:w="160"/>
              <w:bottom w:type="dxa" w:w="200"/>
              <w:right w:type="dxa" w:w="100"/>
            </w:tcMar>
            <w:vAlign w:val="center"/>
          </w:tcPr>
          <w:p>
            <w:pPr>
              <w:spacing w:after="0" w:before="0"/>
              <w:jc w:val="center"/>
            </w:pPr>
            <w:r>
              <w:drawing>
                <wp:inline distT="0" distB="0" distL="0" distR="0">
                  <wp:extent cx="1123950" cy="1123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23950" cy="1123950"/>
                          </a:xfrm>
                          <a:prstGeom prst="rect">
                            <a:avLst/>
                          </a:prstGeom>
                        </pic:spPr>
                      </pic:pic>
                    </a:graphicData>
                  </a:graphic>
                </wp:inline>
              </w:drawing>
            </w:r>
          </w:p>
        </w:tc>
        <w:tc>
          <w:tcPr>
            <w:tcW w:type="dxa" w:w="8166"/>
            <w:shd w:fill="0B2A4A" w:color="auto" w:val="clear"/>
            <w:tcMar>
              <w:top w:type="dxa" w:w="200"/>
              <w:left w:type="dxa" w:w="180"/>
              <w:bottom w:type="dxa" w:w="200"/>
              <w:right w:type="dxa" w:w="260"/>
            </w:tcMar>
            <w:vAlign w:val="center"/>
          </w:tcPr>
          <w:p>
            <w:pPr>
              <w:spacing w:after="40" w:before="40" w:line="300" w:lineRule="auto"/>
            </w:pPr>
            <w:r>
              <w:rPr>
                <w:rFonts w:ascii="Calibri" w:cs="Calibri" w:eastAsia="Calibri" w:hAnsi="Calibri"/>
                <w:b/>
                <w:bCs/>
                <w:i w:val="false"/>
                <w:iCs w:val="false"/>
                <w:caps w:val="false"/>
                <w:color w:val="FFFFFF"/>
                <w:spacing w:val="26"/>
                <w:sz w:val="34"/>
                <w:szCs w:val="34"/>
              </w:rPr>
              <w:t xml:space="preserve">UMAR ALI ABDUL SAID ISLAMI JAHRIA</w:t>
            </w:r>
          </w:p>
          <w:p>
            <w:pPr>
              <w:pBdr>
                <w:bottom w:val="single" w:color="C89B3C" w:sz="6" w:space="6"/>
              </w:pBdr>
              <w:spacing w:after="60" w:before="0" w:line="260" w:lineRule="auto"/>
            </w:pPr>
            <w:r>
              <w:rPr>
                <w:rFonts w:ascii="Calibri" w:cs="Calibri" w:eastAsia="Calibri" w:hAnsi="Calibri"/>
                <w:b w:val="false"/>
                <w:bCs w:val="false"/>
                <w:i w:val="false"/>
                <w:iCs w:val="false"/>
                <w:caps w:val="false"/>
                <w:color w:val="9FC6E8"/>
                <w:spacing w:val="20"/>
                <w:sz w:val="22"/>
                <w:szCs w:val="22"/>
              </w:rPr>
              <w:t xml:space="preserve">System Infrastructure &amp; Architecture Engineer</w:t>
            </w:r>
          </w:p>
          <w:p>
            <w:pPr>
              <w:spacing w:after="70" w:before="100" w:line="240" w:lineRule="auto"/>
            </w:pPr>
            <w:r>
              <w:rPr>
                <w:rFonts w:ascii="Calibri" w:cs="Calibri" w:eastAsia="Calibri" w:hAnsi="Calibri"/>
                <w:b w:val="false"/>
                <w:bCs w:val="false"/>
                <w:i/>
                <w:iCs/>
                <w:caps w:val="false"/>
                <w:color w:val="D8E7F4"/>
                <w:sz w:val="17"/>
                <w:szCs w:val="17"/>
              </w:rPr>
              <w:t xml:space="preserve">Salesforce Certified Tableau Architect · Consultant · Server Administrator</w:t>
            </w:r>
          </w:p>
          <w:p>
            <w:pPr>
              <w:spacing w:after="40" w:before="0" w:line="240" w:lineRule="auto"/>
            </w:pPr>
            <w:r>
              <w:rPr>
                <w:rFonts w:ascii="Calibri" w:cs="Calibri" w:eastAsia="Calibri" w:hAnsi="Calibri"/>
                <w:b w:val="false"/>
                <w:bCs w:val="false"/>
                <w:i w:val="false"/>
                <w:iCs w:val="false"/>
                <w:caps w:val="false"/>
                <w:color w:val="C6DCEE"/>
                <w:sz w:val="17"/>
                <w:szCs w:val="17"/>
              </w:rPr>
              <w:t xml:space="preserve">aliumar1078@gmail.com   |   +62 821-2552-8474 (WhatsApp)   |   Jakarta, Indonesia · Warga Negara Indonesia</w:t>
            </w:r>
          </w:p>
        </w:tc>
      </w:tr>
    </w:tbl>
    <w:p>
      <w:pPr>
        <w:spacing w:after="160" w:before="0" w:line="20" w:lineRule="auto"/>
      </w:pPr>
    </w:p>
    <w:tbl>
      <w:tblPr>
        <w:tblW w:type="dxa" w:w="10666"/>
        <w:tblBorders>
          <w:top w:val="none" w:color="FFFFFF" w:sz="0"/>
          <w:left w:val="none" w:color="FFFFFF" w:sz="0"/>
          <w:bottom w:val="none" w:color="FFFFFF" w:sz="0"/>
          <w:right w:val="none" w:color="FFFFFF" w:sz="0"/>
          <w:insideH w:val="none" w:color="FFFFFF" w:sz="0"/>
          <w:insideV w:val="none" w:color="FFFFFF" w:sz="0"/>
        </w:tblBorders>
      </w:tblPr>
      <w:tblGrid>
        <w:gridCol w:w="3500"/>
        <w:gridCol w:w="7166"/>
      </w:tblGrid>
      <w:tr>
        <w:trPr>
          <w:cantSplit w:val="false"/>
        </w:trPr>
        <w:tc>
          <w:tcPr>
            <w:tcW w:type="dxa" w:w="3500"/>
            <w:shd w:fill="EEF3F9" w:color="auto" w:val="clear"/>
            <w:tcMar>
              <w:top w:type="dxa" w:w="120"/>
              <w:left w:type="dxa" w:w="180"/>
              <w:bottom w:type="dxa" w:w="260"/>
              <w:right w:type="dxa" w:w="200"/>
            </w:tcMar>
          </w:tcPr>
          <w:p>
            <w:pPr>
              <w:pBdr>
                <w:bottom w:val="single" w:color="C89B3C" w:sz="8" w:space="4"/>
              </w:pBdr>
              <w:spacing w:after="90" w:before="200" w:line="240" w:lineRule="auto"/>
            </w:pPr>
            <w:r>
              <w:rPr>
                <w:rFonts w:ascii="Calibri" w:cs="Calibri" w:eastAsia="Calibri" w:hAnsi="Calibri"/>
                <w:b/>
                <w:bCs/>
                <w:i w:val="false"/>
                <w:iCs w:val="false"/>
                <w:caps/>
                <w:color w:val="0B2A4A"/>
                <w:spacing w:val="40"/>
                <w:sz w:val="19"/>
                <w:szCs w:val="19"/>
              </w:rPr>
              <w:t xml:space="preserve">Kontak</w:t>
            </w:r>
          </w:p>
          <w:p>
            <w:pPr>
              <w:spacing w:after="50" w:before="0" w:line="250" w:lineRule="auto"/>
            </w:pPr>
            <w:r>
              <w:rPr>
                <w:rFonts w:ascii="Calibri" w:cs="Calibri" w:eastAsia="Calibri" w:hAnsi="Calibri"/>
                <w:b w:val="false"/>
                <w:bCs w:val="false"/>
                <w:i w:val="false"/>
                <w:iCs w:val="false"/>
                <w:caps w:val="false"/>
                <w:color w:val="22303F"/>
                <w:sz w:val="18"/>
                <w:szCs w:val="18"/>
              </w:rPr>
              <w:t xml:space="preserve">aliumar1078@gmail.com</w:t>
            </w:r>
          </w:p>
          <w:p>
            <w:pPr>
              <w:spacing w:after="50" w:before="0" w:line="250" w:lineRule="auto"/>
            </w:pPr>
            <w:r>
              <w:rPr>
                <w:rFonts w:ascii="Calibri" w:cs="Calibri" w:eastAsia="Calibri" w:hAnsi="Calibri"/>
                <w:b w:val="false"/>
                <w:bCs w:val="false"/>
                <w:i w:val="false"/>
                <w:iCs w:val="false"/>
                <w:caps w:val="false"/>
                <w:color w:val="22303F"/>
                <w:sz w:val="18"/>
                <w:szCs w:val="18"/>
              </w:rPr>
              <w:t xml:space="preserve">+62 821-2552-8474 (WhatsApp)</w:t>
            </w:r>
          </w:p>
          <w:p>
            <w:pPr>
              <w:spacing w:after="50" w:before="0" w:line="250" w:lineRule="auto"/>
            </w:pPr>
            <w:r>
              <w:rPr>
                <w:rFonts w:ascii="Calibri" w:cs="Calibri" w:eastAsia="Calibri" w:hAnsi="Calibri"/>
                <w:b w:val="false"/>
                <w:bCs w:val="false"/>
                <w:i w:val="false"/>
                <w:iCs w:val="false"/>
                <w:caps w:val="false"/>
                <w:color w:val="22303F"/>
                <w:sz w:val="18"/>
                <w:szCs w:val="18"/>
              </w:rPr>
              <w:t xml:space="preserve">Jakarta, Indonesia · Warga Negara Indonesia</w:t>
            </w:r>
          </w:p>
          <w:p>
            <w:pPr>
              <w:pBdr>
                <w:bottom w:val="single" w:color="C89B3C" w:sz="8" w:space="4"/>
              </w:pBdr>
              <w:spacing w:after="90" w:before="200" w:line="240" w:lineRule="auto"/>
            </w:pPr>
            <w:r>
              <w:rPr>
                <w:rFonts w:ascii="Calibri" w:cs="Calibri" w:eastAsia="Calibri" w:hAnsi="Calibri"/>
                <w:b/>
                <w:bCs/>
                <w:i w:val="false"/>
                <w:iCs w:val="false"/>
                <w:caps/>
                <w:color w:val="0B2A4A"/>
                <w:spacing w:val="40"/>
                <w:sz w:val="19"/>
                <w:szCs w:val="19"/>
              </w:rPr>
              <w:t xml:space="preserve">Sertifikasi</w:t>
            </w:r>
          </w:p>
          <w:p>
            <w:pPr>
              <w:spacing w:after="110" w:before="20"/>
              <w:jc w:val="center"/>
            </w:pPr>
            <w:r>
              <w:drawing>
                <wp:inline distT="0" distB="0" distL="0" distR="0">
                  <wp:extent cx="590550" cy="590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 cy="590550"/>
                          </a:xfrm>
                          <a:prstGeom prst="rect">
                            <a:avLst/>
                          </a:prstGeom>
                        </pic:spPr>
                      </pic:pic>
                    </a:graphicData>
                  </a:graphic>
                </wp:inline>
              </w:drawing>
            </w:r>
            <w:r>
              <w:drawing>
                <wp:inline distT="0" distB="0" distL="0" distR="0">
                  <wp:extent cx="590550" cy="590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 cy="590550"/>
                          </a:xfrm>
                          <a:prstGeom prst="rect">
                            <a:avLst/>
                          </a:prstGeom>
                        </pic:spPr>
                      </pic:pic>
                    </a:graphicData>
                  </a:graphic>
                </wp:inline>
              </w:drawing>
            </w:r>
          </w:p>
          <w:p>
            <w:pPr>
              <w:spacing w:after="20" w:before="0" w:line="230" w:lineRule="auto"/>
            </w:pPr>
            <w:r>
              <w:rPr>
                <w:rFonts w:ascii="Calibri" w:cs="Calibri" w:eastAsia="Calibri" w:hAnsi="Calibri"/>
                <w:b/>
                <w:bCs/>
                <w:i w:val="false"/>
                <w:iCs w:val="false"/>
                <w:caps w:val="false"/>
                <w:color w:val="0B2A4A"/>
                <w:sz w:val="18"/>
                <w:szCs w:val="18"/>
              </w:rPr>
              <w:t xml:space="preserve">Salesforce Certified Tableau Architect</w:t>
            </w:r>
          </w:p>
          <w:p>
            <w:pPr>
              <w:spacing w:after="20" w:before="0" w:line="250" w:lineRule="auto"/>
            </w:pPr>
            <w:r>
              <w:rPr>
                <w:rFonts w:ascii="Calibri" w:cs="Calibri" w:eastAsia="Calibri" w:hAnsi="Calibri"/>
                <w:b w:val="false"/>
                <w:bCs w:val="false"/>
                <w:i w:val="false"/>
                <w:iCs w:val="false"/>
                <w:caps w:val="false"/>
                <w:color w:val="5F7182"/>
                <w:sz w:val="16"/>
                <w:szCs w:val="16"/>
              </w:rPr>
              <w:t xml:space="preserve">Salesforce / Tableau</w:t>
            </w:r>
          </w:p>
          <w:p>
            <w:pPr>
              <w:spacing w:after="20" w:before="0" w:line="250" w:lineRule="auto"/>
            </w:pPr>
            <w:r>
              <w:rPr>
                <w:rFonts w:ascii="Calibri" w:cs="Calibri" w:eastAsia="Calibri" w:hAnsi="Calibri"/>
                <w:b w:val="false"/>
                <w:bCs w:val="false"/>
                <w:i w:val="false"/>
                <w:iCs w:val="false"/>
                <w:caps w:val="false"/>
                <w:color w:val="5F7182"/>
                <w:sz w:val="16"/>
                <w:szCs w:val="16"/>
              </w:rPr>
              <w:t xml:space="preserve">Terbit 16 Februari 2026</w:t>
            </w:r>
          </w:p>
          <w:p>
            <w:pPr>
              <w:spacing w:after="110" w:before="0" w:line="250" w:lineRule="auto"/>
            </w:pPr>
            <w:r>
              <w:rPr>
                <w:rFonts w:ascii="Calibri" w:cs="Calibri" w:eastAsia="Calibri" w:hAnsi="Calibri"/>
                <w:b/>
                <w:bCs/>
                <w:i w:val="false"/>
                <w:iCs w:val="false"/>
                <w:caps w:val="false"/>
                <w:color w:val="1B7FD1"/>
                <w:sz w:val="16"/>
                <w:szCs w:val="16"/>
              </w:rPr>
              <w:t xml:space="preserve">ID Kredensial 7461264</w:t>
            </w:r>
          </w:p>
          <w:p>
            <w:pPr>
              <w:spacing w:after="20" w:before="0" w:line="230" w:lineRule="auto"/>
            </w:pPr>
            <w:r>
              <w:rPr>
                <w:rFonts w:ascii="Calibri" w:cs="Calibri" w:eastAsia="Calibri" w:hAnsi="Calibri"/>
                <w:b/>
                <w:bCs/>
                <w:i w:val="false"/>
                <w:iCs w:val="false"/>
                <w:caps w:val="false"/>
                <w:color w:val="0B2A4A"/>
                <w:sz w:val="18"/>
                <w:szCs w:val="18"/>
              </w:rPr>
              <w:t xml:space="preserve">Salesforce Certified Tableau Consultant</w:t>
            </w:r>
          </w:p>
          <w:p>
            <w:pPr>
              <w:spacing w:after="20" w:before="0" w:line="250" w:lineRule="auto"/>
            </w:pPr>
            <w:r>
              <w:rPr>
                <w:rFonts w:ascii="Calibri" w:cs="Calibri" w:eastAsia="Calibri" w:hAnsi="Calibri"/>
                <w:b w:val="false"/>
                <w:bCs w:val="false"/>
                <w:i w:val="false"/>
                <w:iCs w:val="false"/>
                <w:caps w:val="false"/>
                <w:color w:val="5F7182"/>
                <w:sz w:val="16"/>
                <w:szCs w:val="16"/>
              </w:rPr>
              <w:t xml:space="preserve">Salesforce / Tableau</w:t>
            </w:r>
          </w:p>
          <w:p>
            <w:pPr>
              <w:spacing w:after="20" w:before="0" w:line="250" w:lineRule="auto"/>
            </w:pPr>
            <w:r>
              <w:rPr>
                <w:rFonts w:ascii="Calibri" w:cs="Calibri" w:eastAsia="Calibri" w:hAnsi="Calibri"/>
                <w:b w:val="false"/>
                <w:bCs w:val="false"/>
                <w:i w:val="false"/>
                <w:iCs w:val="false"/>
                <w:caps w:val="false"/>
                <w:color w:val="5F7182"/>
                <w:sz w:val="16"/>
                <w:szCs w:val="16"/>
              </w:rPr>
              <w:t xml:space="preserve">Terbit 22 Mei 2026</w:t>
            </w:r>
          </w:p>
          <w:p>
            <w:pPr>
              <w:spacing w:after="110" w:before="0" w:line="250" w:lineRule="auto"/>
            </w:pPr>
            <w:r>
              <w:rPr>
                <w:rFonts w:ascii="Calibri" w:cs="Calibri" w:eastAsia="Calibri" w:hAnsi="Calibri"/>
                <w:b/>
                <w:bCs/>
                <w:i w:val="false"/>
                <w:iCs w:val="false"/>
                <w:caps w:val="false"/>
                <w:color w:val="1B7FD1"/>
                <w:sz w:val="16"/>
                <w:szCs w:val="16"/>
              </w:rPr>
              <w:t xml:space="preserve">ID Kredensial 7817322</w:t>
            </w:r>
          </w:p>
          <w:p>
            <w:pPr>
              <w:spacing w:after="20" w:before="0" w:line="230" w:lineRule="auto"/>
            </w:pPr>
            <w:r>
              <w:rPr>
                <w:rFonts w:ascii="Calibri" w:cs="Calibri" w:eastAsia="Calibri" w:hAnsi="Calibri"/>
                <w:b/>
                <w:bCs/>
                <w:i w:val="false"/>
                <w:iCs w:val="false"/>
                <w:caps w:val="false"/>
                <w:color w:val="0B2A4A"/>
                <w:sz w:val="18"/>
                <w:szCs w:val="18"/>
              </w:rPr>
              <w:t xml:space="preserve">Salesforce Certified Tableau Server Administrator</w:t>
            </w:r>
          </w:p>
          <w:p>
            <w:pPr>
              <w:spacing w:after="20" w:before="0" w:line="250" w:lineRule="auto"/>
            </w:pPr>
            <w:r>
              <w:rPr>
                <w:rFonts w:ascii="Calibri" w:cs="Calibri" w:eastAsia="Calibri" w:hAnsi="Calibri"/>
                <w:b w:val="false"/>
                <w:bCs w:val="false"/>
                <w:i w:val="false"/>
                <w:iCs w:val="false"/>
                <w:caps w:val="false"/>
                <w:color w:val="5F7182"/>
                <w:sz w:val="16"/>
                <w:szCs w:val="16"/>
              </w:rPr>
              <w:t xml:space="preserve">Salesforce / Tableau</w:t>
            </w:r>
          </w:p>
          <w:p>
            <w:pPr>
              <w:spacing w:after="20" w:before="0" w:line="250" w:lineRule="auto"/>
            </w:pPr>
            <w:r>
              <w:rPr>
                <w:rFonts w:ascii="Calibri" w:cs="Calibri" w:eastAsia="Calibri" w:hAnsi="Calibri"/>
                <w:b w:val="false"/>
                <w:bCs w:val="false"/>
                <w:i w:val="false"/>
                <w:iCs w:val="false"/>
                <w:caps w:val="false"/>
                <w:color w:val="5F7182"/>
                <w:sz w:val="16"/>
                <w:szCs w:val="16"/>
              </w:rPr>
              <w:t xml:space="preserve">Terbit 4 Juni 2026</w:t>
            </w:r>
          </w:p>
          <w:p>
            <w:pPr>
              <w:spacing w:after="110" w:before="0" w:line="250" w:lineRule="auto"/>
            </w:pPr>
            <w:r>
              <w:rPr>
                <w:rFonts w:ascii="Calibri" w:cs="Calibri" w:eastAsia="Calibri" w:hAnsi="Calibri"/>
                <w:b/>
                <w:bCs/>
                <w:i w:val="false"/>
                <w:iCs w:val="false"/>
                <w:caps w:val="false"/>
                <w:color w:val="1B7FD1"/>
                <w:sz w:val="16"/>
                <w:szCs w:val="16"/>
              </w:rPr>
              <w:t xml:space="preserve">ID Kredensial 7846162</w:t>
            </w:r>
          </w:p>
          <w:p>
            <w:pPr>
              <w:spacing w:after="20" w:before="0" w:line="230" w:lineRule="auto"/>
            </w:pPr>
            <w:r>
              <w:rPr>
                <w:rFonts w:ascii="Calibri" w:cs="Calibri" w:eastAsia="Calibri" w:hAnsi="Calibri"/>
                <w:b/>
                <w:bCs/>
                <w:i w:val="false"/>
                <w:iCs w:val="false"/>
                <w:caps w:val="false"/>
                <w:color w:val="0B2A4A"/>
                <w:sz w:val="18"/>
                <w:szCs w:val="18"/>
              </w:rPr>
              <w:t xml:space="preserve">Alteryx Designer Core Certified</w:t>
            </w:r>
          </w:p>
          <w:p>
            <w:pPr>
              <w:spacing w:after="20" w:before="0" w:line="250" w:lineRule="auto"/>
            </w:pPr>
            <w:r>
              <w:rPr>
                <w:rFonts w:ascii="Calibri" w:cs="Calibri" w:eastAsia="Calibri" w:hAnsi="Calibri"/>
                <w:b w:val="false"/>
                <w:bCs w:val="false"/>
                <w:i w:val="false"/>
                <w:iCs w:val="false"/>
                <w:caps w:val="false"/>
                <w:color w:val="5F7182"/>
                <w:sz w:val="16"/>
                <w:szCs w:val="16"/>
              </w:rPr>
              <w:t xml:space="preserve">Alteryx, Inc.</w:t>
            </w:r>
          </w:p>
          <w:p>
            <w:pPr>
              <w:spacing w:after="110" w:before="0" w:line="250" w:lineRule="auto"/>
            </w:pPr>
            <w:r>
              <w:rPr>
                <w:rFonts w:ascii="Calibri" w:cs="Calibri" w:eastAsia="Calibri" w:hAnsi="Calibri"/>
                <w:b w:val="false"/>
                <w:bCs w:val="false"/>
                <w:i w:val="false"/>
                <w:iCs w:val="false"/>
                <w:caps w:val="false"/>
                <w:color w:val="5F7182"/>
                <w:sz w:val="16"/>
                <w:szCs w:val="16"/>
              </w:rPr>
              <w:t xml:space="preserve">Terbit 26 Maret 2026 · Berlaku s.d. 26 Maret 2028</w:t>
            </w:r>
          </w:p>
          <w:p>
            <w:pPr>
              <w:spacing w:after="40" w:before="0" w:line="250" w:lineRule="auto"/>
            </w:pPr>
            <w:r>
              <w:rPr>
                <w:rFonts w:ascii="Calibri" w:cs="Calibri" w:eastAsia="Calibri" w:hAnsi="Calibri"/>
                <w:b w:val="false"/>
                <w:bCs w:val="false"/>
                <w:i/>
                <w:iCs/>
                <w:caps w:val="false"/>
                <w:color w:val="5F7182"/>
                <w:sz w:val="15"/>
                <w:szCs w:val="15"/>
              </w:rPr>
              <w:t xml:space="preserve">Verifikasi: sforce.co/verifycerts</w:t>
            </w:r>
          </w:p>
          <w:p>
            <w:pPr>
              <w:pBdr>
                <w:bottom w:val="single" w:color="C89B3C" w:sz="8" w:space="4"/>
              </w:pBdr>
              <w:spacing w:after="90" w:before="200" w:line="240" w:lineRule="auto"/>
            </w:pPr>
            <w:r>
              <w:rPr>
                <w:rFonts w:ascii="Calibri" w:cs="Calibri" w:eastAsia="Calibri" w:hAnsi="Calibri"/>
                <w:b/>
                <w:bCs/>
                <w:i w:val="false"/>
                <w:iCs w:val="false"/>
                <w:caps/>
                <w:color w:val="0B2A4A"/>
                <w:spacing w:val="40"/>
                <w:sz w:val="19"/>
                <w:szCs w:val="19"/>
              </w:rPr>
              <w:t xml:space="preserve">Keahlian Teknis</w:t>
            </w:r>
          </w:p>
          <w:p>
            <w:pPr>
              <w:spacing w:after="10" w:before="0" w:line="230" w:lineRule="auto"/>
            </w:pPr>
            <w:r>
              <w:rPr>
                <w:rFonts w:ascii="Calibri" w:cs="Calibri" w:eastAsia="Calibri" w:hAnsi="Calibri"/>
                <w:b/>
                <w:bCs/>
                <w:i w:val="false"/>
                <w:iCs w:val="false"/>
                <w:caps w:val="false"/>
                <w:color w:val="14406B"/>
                <w:sz w:val="17"/>
                <w:szCs w:val="17"/>
              </w:rPr>
              <w:t xml:space="preserve">Business Intelligence</w:t>
            </w:r>
          </w:p>
          <w:p>
            <w:pPr>
              <w:spacing w:after="90" w:before="0" w:line="235" w:lineRule="auto"/>
            </w:pPr>
            <w:r>
              <w:rPr>
                <w:rFonts w:ascii="Calibri" w:cs="Calibri" w:eastAsia="Calibri" w:hAnsi="Calibri"/>
                <w:b w:val="false"/>
                <w:bCs w:val="false"/>
                <w:i w:val="false"/>
                <w:iCs w:val="false"/>
                <w:caps w:val="false"/>
                <w:color w:val="22303F"/>
                <w:sz w:val="17"/>
                <w:szCs w:val="17"/>
              </w:rPr>
              <w:t xml:space="preserve">Tableau Server, Tableau Desktop, Tableau Prep, Tableau Bridge, Tableau Cloud, Alteryx Designer, Pentaho</w:t>
            </w:r>
          </w:p>
          <w:p>
            <w:pPr>
              <w:spacing w:after="10" w:before="0" w:line="230" w:lineRule="auto"/>
            </w:pPr>
            <w:r>
              <w:rPr>
                <w:rFonts w:ascii="Calibri" w:cs="Calibri" w:eastAsia="Calibri" w:hAnsi="Calibri"/>
                <w:b/>
                <w:bCs/>
                <w:i w:val="false"/>
                <w:iCs w:val="false"/>
                <w:caps w:val="false"/>
                <w:color w:val="14406B"/>
                <w:sz w:val="17"/>
                <w:szCs w:val="17"/>
              </w:rPr>
              <w:t xml:space="preserve">Infrastruktur</w:t>
            </w:r>
          </w:p>
          <w:p>
            <w:pPr>
              <w:spacing w:after="90" w:before="0" w:line="235" w:lineRule="auto"/>
            </w:pPr>
            <w:r>
              <w:rPr>
                <w:rFonts w:ascii="Calibri" w:cs="Calibri" w:eastAsia="Calibri" w:hAnsi="Calibri"/>
                <w:b w:val="false"/>
                <w:bCs w:val="false"/>
                <w:i w:val="false"/>
                <w:iCs w:val="false"/>
                <w:caps w:val="false"/>
                <w:color w:val="22303F"/>
                <w:sz w:val="17"/>
                <w:szCs w:val="17"/>
              </w:rPr>
              <w:t xml:space="preserve">Proxmox, LXC, Docker, high availability &amp; clustering, penerapan aplikasi self-hosted, Nextcloud</w:t>
            </w:r>
          </w:p>
          <w:p>
            <w:pPr>
              <w:spacing w:after="10" w:before="0" w:line="230" w:lineRule="auto"/>
            </w:pPr>
            <w:r>
              <w:rPr>
                <w:rFonts w:ascii="Calibri" w:cs="Calibri" w:eastAsia="Calibri" w:hAnsi="Calibri"/>
                <w:b/>
                <w:bCs/>
                <w:i w:val="false"/>
                <w:iCs w:val="false"/>
                <w:caps w:val="false"/>
                <w:color w:val="14406B"/>
                <w:sz w:val="17"/>
                <w:szCs w:val="17"/>
              </w:rPr>
              <w:t xml:space="preserve">Sistem Operasi</w:t>
            </w:r>
          </w:p>
          <w:p>
            <w:pPr>
              <w:spacing w:after="90" w:before="0" w:line="235" w:lineRule="auto"/>
            </w:pPr>
            <w:r>
              <w:rPr>
                <w:rFonts w:ascii="Calibri" w:cs="Calibri" w:eastAsia="Calibri" w:hAnsi="Calibri"/>
                <w:b w:val="false"/>
                <w:bCs w:val="false"/>
                <w:i w:val="false"/>
                <w:iCs w:val="false"/>
                <w:caps w:val="false"/>
                <w:color w:val="22303F"/>
                <w:sz w:val="17"/>
                <w:szCs w:val="17"/>
              </w:rPr>
              <w:t xml:space="preserve">Ubuntu, RHEL, Linux (seluruh distribusi utama), Windows Server</w:t>
            </w:r>
          </w:p>
          <w:p>
            <w:pPr>
              <w:spacing w:after="10" w:before="0" w:line="230" w:lineRule="auto"/>
            </w:pPr>
            <w:r>
              <w:rPr>
                <w:rFonts w:ascii="Calibri" w:cs="Calibri" w:eastAsia="Calibri" w:hAnsi="Calibri"/>
                <w:b/>
                <w:bCs/>
                <w:i w:val="false"/>
                <w:iCs w:val="false"/>
                <w:caps w:val="false"/>
                <w:color w:val="14406B"/>
                <w:sz w:val="17"/>
                <w:szCs w:val="17"/>
              </w:rPr>
              <w:t xml:space="preserve">Basis Data</w:t>
            </w:r>
          </w:p>
          <w:p>
            <w:pPr>
              <w:spacing w:after="90" w:before="0" w:line="235" w:lineRule="auto"/>
            </w:pPr>
            <w:r>
              <w:rPr>
                <w:rFonts w:ascii="Calibri" w:cs="Calibri" w:eastAsia="Calibri" w:hAnsi="Calibri"/>
                <w:b w:val="false"/>
                <w:bCs w:val="false"/>
                <w:i w:val="false"/>
                <w:iCs w:val="false"/>
                <w:caps w:val="false"/>
                <w:color w:val="22303F"/>
                <w:sz w:val="17"/>
                <w:szCs w:val="17"/>
              </w:rPr>
              <w:t xml:space="preserve">ClickHouse, PostgreSQL, MySQL, Microsoft SQL Server</w:t>
            </w:r>
          </w:p>
          <w:p>
            <w:pPr>
              <w:spacing w:after="10" w:before="0" w:line="230" w:lineRule="auto"/>
            </w:pPr>
            <w:r>
              <w:rPr>
                <w:rFonts w:ascii="Calibri" w:cs="Calibri" w:eastAsia="Calibri" w:hAnsi="Calibri"/>
                <w:b/>
                <w:bCs/>
                <w:i w:val="false"/>
                <w:iCs w:val="false"/>
                <w:caps w:val="false"/>
                <w:color w:val="14406B"/>
                <w:sz w:val="17"/>
                <w:szCs w:val="17"/>
              </w:rPr>
              <w:t xml:space="preserve">Keamanan &amp; Identitas</w:t>
            </w:r>
          </w:p>
          <w:p>
            <w:pPr>
              <w:spacing w:after="90" w:before="0" w:line="235" w:lineRule="auto"/>
            </w:pPr>
            <w:r>
              <w:rPr>
                <w:rFonts w:ascii="Calibri" w:cs="Calibri" w:eastAsia="Calibri" w:hAnsi="Calibri"/>
                <w:b w:val="false"/>
                <w:bCs w:val="false"/>
                <w:i w:val="false"/>
                <w:iCs w:val="false"/>
                <w:caps w:val="false"/>
                <w:color w:val="22303F"/>
                <w:sz w:val="17"/>
                <w:szCs w:val="17"/>
              </w:rPr>
              <w:t xml:space="preserve">Pembuatan SAML key, SSO, Kerberos, Active Directory, Azure AD, SSL mandiri, SMTP</w:t>
            </w:r>
          </w:p>
          <w:p>
            <w:pPr>
              <w:spacing w:after="10" w:before="0" w:line="230" w:lineRule="auto"/>
            </w:pPr>
            <w:r>
              <w:rPr>
                <w:rFonts w:ascii="Calibri" w:cs="Calibri" w:eastAsia="Calibri" w:hAnsi="Calibri"/>
                <w:b/>
                <w:bCs/>
                <w:i w:val="false"/>
                <w:iCs w:val="false"/>
                <w:caps w:val="false"/>
                <w:color w:val="14406B"/>
                <w:sz w:val="17"/>
                <w:szCs w:val="17"/>
              </w:rPr>
              <w:t xml:space="preserve">Pemrograman</w:t>
            </w:r>
          </w:p>
          <w:p>
            <w:pPr>
              <w:spacing w:after="90" w:before="0" w:line="235" w:lineRule="auto"/>
            </w:pPr>
            <w:r>
              <w:rPr>
                <w:rFonts w:ascii="Calibri" w:cs="Calibri" w:eastAsia="Calibri" w:hAnsi="Calibri"/>
                <w:b w:val="false"/>
                <w:bCs w:val="false"/>
                <w:i w:val="false"/>
                <w:iCs w:val="false"/>
                <w:caps w:val="false"/>
                <w:color w:val="22303F"/>
                <w:sz w:val="17"/>
                <w:szCs w:val="17"/>
              </w:rPr>
              <w:t xml:space="preserve">Python, JavaScript, JSX, JSON, Java, Flutter, R (dasar)</w:t>
            </w:r>
          </w:p>
          <w:p>
            <w:pPr>
              <w:spacing w:after="10" w:before="0" w:line="230" w:lineRule="auto"/>
            </w:pPr>
            <w:r>
              <w:rPr>
                <w:rFonts w:ascii="Calibri" w:cs="Calibri" w:eastAsia="Calibri" w:hAnsi="Calibri"/>
                <w:b/>
                <w:bCs/>
                <w:i w:val="false"/>
                <w:iCs w:val="false"/>
                <w:caps w:val="false"/>
                <w:color w:val="14406B"/>
                <w:sz w:val="17"/>
                <w:szCs w:val="17"/>
              </w:rPr>
              <w:t xml:space="preserve">Otomasi &amp; AI</w:t>
            </w:r>
          </w:p>
          <w:p>
            <w:pPr>
              <w:spacing w:after="90" w:before="0" w:line="235" w:lineRule="auto"/>
            </w:pPr>
            <w:r>
              <w:rPr>
                <w:rFonts w:ascii="Calibri" w:cs="Calibri" w:eastAsia="Calibri" w:hAnsi="Calibri"/>
                <w:b w:val="false"/>
                <w:bCs w:val="false"/>
                <w:i w:val="false"/>
                <w:iCs w:val="false"/>
                <w:caps w:val="false"/>
                <w:color w:val="22303F"/>
                <w:sz w:val="17"/>
                <w:szCs w:val="17"/>
              </w:rPr>
              <w:t xml:space="preserve">Penjadwalan cron, workflow n8n, penerapan LLM Ollama, perancangan solusi AI</w:t>
            </w:r>
          </w:p>
          <w:p>
            <w:pPr>
              <w:spacing w:after="10" w:before="0" w:line="230" w:lineRule="auto"/>
            </w:pPr>
            <w:r>
              <w:rPr>
                <w:rFonts w:ascii="Calibri" w:cs="Calibri" w:eastAsia="Calibri" w:hAnsi="Calibri"/>
                <w:b/>
                <w:bCs/>
                <w:i w:val="false"/>
                <w:iCs w:val="false"/>
                <w:caps w:val="false"/>
                <w:color w:val="14406B"/>
                <w:sz w:val="17"/>
                <w:szCs w:val="17"/>
              </w:rPr>
              <w:t xml:space="preserve">Alat Proyek</w:t>
            </w:r>
          </w:p>
          <w:p>
            <w:pPr>
              <w:spacing w:after="90" w:before="0" w:line="235" w:lineRule="auto"/>
            </w:pPr>
            <w:r>
              <w:rPr>
                <w:rFonts w:ascii="Calibri" w:cs="Calibri" w:eastAsia="Calibri" w:hAnsi="Calibri"/>
                <w:b w:val="false"/>
                <w:bCs w:val="false"/>
                <w:i w:val="false"/>
                <w:iCs w:val="false"/>
                <w:caps w:val="false"/>
                <w:color w:val="22303F"/>
                <w:sz w:val="17"/>
                <w:szCs w:val="17"/>
              </w:rPr>
              <w:t xml:space="preserve">ClickUp, aplikasi manajemen proyek internal, dokumentasi teknis</w:t>
            </w:r>
          </w:p>
          <w:p>
            <w:pPr>
              <w:pBdr>
                <w:bottom w:val="single" w:color="C89B3C" w:sz="8" w:space="4"/>
              </w:pBdr>
              <w:spacing w:after="90" w:before="200" w:line="240" w:lineRule="auto"/>
            </w:pPr>
            <w:r>
              <w:rPr>
                <w:rFonts w:ascii="Calibri" w:cs="Calibri" w:eastAsia="Calibri" w:hAnsi="Calibri"/>
                <w:b/>
                <w:bCs/>
                <w:i w:val="false"/>
                <w:iCs w:val="false"/>
                <w:caps/>
                <w:color w:val="0B2A4A"/>
                <w:spacing w:val="40"/>
                <w:sz w:val="19"/>
                <w:szCs w:val="19"/>
              </w:rPr>
              <w:t xml:space="preserve">Pendidikan</w:t>
            </w:r>
          </w:p>
          <w:p>
            <w:pPr>
              <w:spacing w:after="10" w:before="0" w:line="230" w:lineRule="auto"/>
            </w:pPr>
            <w:r>
              <w:rPr>
                <w:rFonts w:ascii="Calibri" w:cs="Calibri" w:eastAsia="Calibri" w:hAnsi="Calibri"/>
                <w:b/>
                <w:bCs/>
                <w:i w:val="false"/>
                <w:iCs w:val="false"/>
                <w:caps w:val="false"/>
                <w:color w:val="0B2A4A"/>
                <w:sz w:val="18"/>
                <w:szCs w:val="18"/>
              </w:rPr>
              <w:t xml:space="preserve">Universitas Terbuka</w:t>
            </w:r>
          </w:p>
          <w:p>
            <w:pPr>
              <w:spacing w:after="90" w:before="0" w:line="235" w:lineRule="auto"/>
            </w:pPr>
            <w:r>
              <w:rPr>
                <w:rFonts w:ascii="Calibri" w:cs="Calibri" w:eastAsia="Calibri" w:hAnsi="Calibri"/>
                <w:b w:val="false"/>
                <w:bCs w:val="false"/>
                <w:i w:val="false"/>
                <w:iCs w:val="false"/>
                <w:caps w:val="false"/>
                <w:color w:val="5F7182"/>
                <w:sz w:val="17"/>
                <w:szCs w:val="17"/>
              </w:rPr>
              <w:t xml:space="preserve">Jurusan Sistem Informasi</w:t>
            </w:r>
          </w:p>
          <w:p>
            <w:pPr>
              <w:spacing w:after="10" w:before="0" w:line="230" w:lineRule="auto"/>
            </w:pPr>
            <w:r>
              <w:rPr>
                <w:rFonts w:ascii="Calibri" w:cs="Calibri" w:eastAsia="Calibri" w:hAnsi="Calibri"/>
                <w:b/>
                <w:bCs/>
                <w:i w:val="false"/>
                <w:iCs w:val="false"/>
                <w:caps w:val="false"/>
                <w:color w:val="0B2A4A"/>
                <w:sz w:val="18"/>
                <w:szCs w:val="18"/>
              </w:rPr>
              <w:t xml:space="preserve">SMK Letris Indonesia</w:t>
            </w:r>
          </w:p>
          <w:p>
            <w:pPr>
              <w:spacing w:after="90" w:before="0" w:line="235" w:lineRule="auto"/>
            </w:pPr>
            <w:r>
              <w:rPr>
                <w:rFonts w:ascii="Calibri" w:cs="Calibri" w:eastAsia="Calibri" w:hAnsi="Calibri"/>
                <w:b w:val="false"/>
                <w:bCs w:val="false"/>
                <w:i w:val="false"/>
                <w:iCs w:val="false"/>
                <w:caps w:val="false"/>
                <w:color w:val="5F7182"/>
                <w:sz w:val="17"/>
                <w:szCs w:val="17"/>
              </w:rPr>
              <w:t xml:space="preserve">Sekolah Menengah Kejuruan</w:t>
            </w:r>
          </w:p>
          <w:p>
            <w:pPr>
              <w:spacing w:after="10" w:before="0" w:line="230" w:lineRule="auto"/>
            </w:pPr>
            <w:r>
              <w:rPr>
                <w:rFonts w:ascii="Calibri" w:cs="Calibri" w:eastAsia="Calibri" w:hAnsi="Calibri"/>
                <w:b/>
                <w:bCs/>
                <w:i w:val="false"/>
                <w:iCs w:val="false"/>
                <w:caps w:val="false"/>
                <w:color w:val="0B2A4A"/>
                <w:sz w:val="18"/>
                <w:szCs w:val="18"/>
              </w:rPr>
              <w:t xml:space="preserve">Tableau Software</w:t>
            </w:r>
          </w:p>
          <w:p>
            <w:pPr>
              <w:spacing w:after="90" w:before="0" w:line="235" w:lineRule="auto"/>
            </w:pPr>
            <w:r>
              <w:rPr>
                <w:rFonts w:ascii="Calibri" w:cs="Calibri" w:eastAsia="Calibri" w:hAnsi="Calibri"/>
                <w:b w:val="false"/>
                <w:bCs w:val="false"/>
                <w:i w:val="false"/>
                <w:iCs w:val="false"/>
                <w:caps w:val="false"/>
                <w:color w:val="5F7182"/>
                <w:sz w:val="17"/>
                <w:szCs w:val="17"/>
              </w:rPr>
              <w:t xml:space="preserve">Program pelatihan &amp; sertifikasi profesional</w:t>
            </w:r>
          </w:p>
          <w:p>
            <w:pPr>
              <w:pBdr>
                <w:bottom w:val="single" w:color="C89B3C" w:sz="8" w:space="4"/>
              </w:pBdr>
              <w:spacing w:after="90" w:before="200" w:line="240" w:lineRule="auto"/>
            </w:pPr>
            <w:r>
              <w:rPr>
                <w:rFonts w:ascii="Calibri" w:cs="Calibri" w:eastAsia="Calibri" w:hAnsi="Calibri"/>
                <w:b/>
                <w:bCs/>
                <w:i w:val="false"/>
                <w:iCs w:val="false"/>
                <w:caps/>
                <w:color w:val="0B2A4A"/>
                <w:spacing w:val="40"/>
                <w:sz w:val="19"/>
                <w:szCs w:val="19"/>
              </w:rPr>
              <w:t xml:space="preserve">Bahasa</w:t>
            </w:r>
          </w:p>
          <w:p>
            <w:pPr>
              <w:pStyle w:val="ListParagraph"/>
              <w:numPr>
                <w:ilvl w:val="0"/>
                <w:numId w:val="2"/>
              </w:numPr>
              <w:spacing w:after="40" w:before="0" w:line="250" w:lineRule="auto"/>
            </w:pPr>
            <w:r>
              <w:rPr>
                <w:rFonts w:ascii="Calibri" w:cs="Calibri" w:eastAsia="Calibri" w:hAnsi="Calibri"/>
                <w:b w:val="false"/>
                <w:bCs w:val="false"/>
                <w:i w:val="false"/>
                <w:iCs w:val="false"/>
                <w:caps w:val="false"/>
                <w:color w:val="22303F"/>
                <w:sz w:val="17"/>
                <w:szCs w:val="17"/>
              </w:rPr>
              <w:t xml:space="preserve">Indonesia — Bahasa ibu</w:t>
            </w:r>
          </w:p>
          <w:p>
            <w:pPr>
              <w:pStyle w:val="ListParagraph"/>
              <w:numPr>
                <w:ilvl w:val="0"/>
                <w:numId w:val="2"/>
              </w:numPr>
              <w:spacing w:after="40" w:before="0" w:line="250" w:lineRule="auto"/>
            </w:pPr>
            <w:r>
              <w:rPr>
                <w:rFonts w:ascii="Calibri" w:cs="Calibri" w:eastAsia="Calibri" w:hAnsi="Calibri"/>
                <w:b w:val="false"/>
                <w:bCs w:val="false"/>
                <w:i w:val="false"/>
                <w:iCs w:val="false"/>
                <w:caps w:val="false"/>
                <w:color w:val="22303F"/>
                <w:sz w:val="17"/>
                <w:szCs w:val="17"/>
              </w:rPr>
              <w:t xml:space="preserve">Inggris — Dasar hingga Menengah</w:t>
            </w:r>
          </w:p>
          <w:p>
            <w:pPr>
              <w:pBdr>
                <w:bottom w:val="single" w:color="C89B3C" w:sz="8" w:space="4"/>
              </w:pBdr>
              <w:spacing w:after="90" w:before="200" w:line="240" w:lineRule="auto"/>
            </w:pPr>
            <w:r>
              <w:rPr>
                <w:rFonts w:ascii="Calibri" w:cs="Calibri" w:eastAsia="Calibri" w:hAnsi="Calibri"/>
                <w:b/>
                <w:bCs/>
                <w:i w:val="false"/>
                <w:iCs w:val="false"/>
                <w:caps/>
                <w:color w:val="0B2A4A"/>
                <w:spacing w:val="40"/>
                <w:sz w:val="19"/>
                <w:szCs w:val="19"/>
              </w:rPr>
              <w:t xml:space="preserve">Minat</w:t>
            </w:r>
          </w:p>
          <w:p>
            <w:pPr>
              <w:spacing w:after="40" w:before="0" w:line="250" w:lineRule="auto"/>
            </w:pPr>
            <w:r>
              <w:rPr>
                <w:rFonts w:ascii="Calibri" w:cs="Calibri" w:eastAsia="Calibri" w:hAnsi="Calibri"/>
                <w:b w:val="false"/>
                <w:bCs w:val="false"/>
                <w:i w:val="false"/>
                <w:iCs w:val="false"/>
                <w:caps w:val="false"/>
                <w:color w:val="22303F"/>
                <w:sz w:val="17"/>
                <w:szCs w:val="17"/>
              </w:rPr>
              <w:t xml:space="preserve">Sepak bola · Bulu tangkis · Membaca · One Piece · AI engineering</w:t>
            </w:r>
          </w:p>
        </w:tc>
        <w:tc>
          <w:tcPr>
            <w:tcW w:type="dxa" w:w="7166"/>
            <w:tcMar>
              <w:top w:type="dxa" w:w="120"/>
              <w:left w:type="dxa" w:w="260"/>
              <w:bottom w:type="dxa" w:w="260"/>
              <w:right w:type="dxa" w:w="60"/>
            </w:tcMar>
          </w:tcPr>
          <w:p>
            <w:pPr>
              <w:keepNext/>
              <w:pBdr>
                <w:left w:val="single" w:color="C89B3C" w:sz="18" w:space="8"/>
              </w:pBdr>
              <w:spacing w:after="100" w:before="180" w:line="240" w:lineRule="auto"/>
              <w:ind w:left="170"/>
            </w:pPr>
            <w:r>
              <w:rPr>
                <w:rFonts w:ascii="Calibri" w:cs="Calibri" w:eastAsia="Calibri" w:hAnsi="Calibri"/>
                <w:b/>
                <w:bCs/>
                <w:i w:val="false"/>
                <w:iCs w:val="false"/>
                <w:caps/>
                <w:color w:val="0B2A4A"/>
                <w:spacing w:val="30"/>
                <w:sz w:val="22"/>
                <w:szCs w:val="22"/>
              </w:rPr>
              <w:t xml:space="preserve">Ringkasan Profesional</w:t>
            </w:r>
          </w:p>
          <w:p>
            <w:pPr>
              <w:spacing w:after="100" w:before="0" w:line="265" w:lineRule="auto"/>
            </w:pPr>
            <w:r>
              <w:rPr>
                <w:rFonts w:ascii="Calibri" w:cs="Calibri" w:eastAsia="Calibri" w:hAnsi="Calibri"/>
                <w:b w:val="false"/>
                <w:bCs w:val="false"/>
                <w:i w:val="false"/>
                <w:iCs w:val="false"/>
                <w:caps w:val="false"/>
                <w:color w:val="22303F"/>
                <w:sz w:val="19"/>
                <w:szCs w:val="19"/>
              </w:rPr>
              <w:t xml:space="preserve">System Infrastructure and Architecture Engineer dengan pengalaman lebih dari empat tahun dalam merancang, mengimplementasikan, mengamankan, dan memelihara lingkungan Tableau Server tingkat enterprise pada lebih dari dua puluh lima organisasi di sektor perbankan, pemerintahan, telekomunikasi, penerbangan, pasar modal, dan manufaktur. Memegang tiga sertifikasi Salesforce Tableau — Architect, Consultant, dan Server Administrator — serta sertifikasi Alteryx Designer Core.</w:t>
            </w:r>
          </w:p>
          <w:p>
            <w:pPr>
              <w:spacing w:after="60" w:before="0" w:line="265" w:lineRule="auto"/>
            </w:pPr>
            <w:r>
              <w:rPr>
                <w:rFonts w:ascii="Calibri" w:cs="Calibri" w:eastAsia="Calibri" w:hAnsi="Calibri"/>
                <w:b w:val="false"/>
                <w:bCs w:val="false"/>
                <w:i w:val="false"/>
                <w:iCs w:val="false"/>
                <w:caps w:val="false"/>
                <w:color w:val="22303F"/>
                <w:sz w:val="19"/>
                <w:szCs w:val="19"/>
              </w:rPr>
              <w:t xml:space="preserve">Menguasai seluruh siklus implementasi: perancangan infrastruktur on-premises maupun cloud, high availability dan clustering, integrasi identitas dan single sign-on, administrasi basis data, perancangan pipeline ETL, otomasi proses, hingga perancangan solusi berbasis AI. Berpengalaman pula pada sisi klien dalam menjalankan program preventive maintenance, transfer pengetahuan yang terstruktur, serta pelatihan pengguna untuk instansi pemerintah dan korporasi.</w:t>
            </w:r>
          </w:p>
          <w:p>
            <w:pPr>
              <w:keepNext/>
              <w:pBdr>
                <w:left w:val="single" w:color="C89B3C" w:sz="18" w:space="8"/>
              </w:pBdr>
              <w:spacing w:after="100" w:before="180" w:line="240" w:lineRule="auto"/>
              <w:ind w:left="170"/>
            </w:pPr>
            <w:r>
              <w:rPr>
                <w:rFonts w:ascii="Calibri" w:cs="Calibri" w:eastAsia="Calibri" w:hAnsi="Calibri"/>
                <w:b/>
                <w:bCs/>
                <w:i w:val="false"/>
                <w:iCs w:val="false"/>
                <w:caps/>
                <w:color w:val="0B2A4A"/>
                <w:spacing w:val="30"/>
                <w:sz w:val="22"/>
                <w:szCs w:val="22"/>
              </w:rPr>
              <w:t xml:space="preserve">Kompetensi Utama</w:t>
            </w:r>
          </w:p>
          <w:p>
            <w:pPr>
              <w:pStyle w:val="ListParagraph"/>
              <w:numPr>
                <w:ilvl w:val="0"/>
                <w:numId w:val="3"/>
              </w:numPr>
              <w:spacing w:after="45" w:before="0" w:line="250" w:lineRule="auto"/>
            </w:pPr>
            <w:r>
              <w:rPr>
                <w:rFonts w:ascii="Calibri" w:cs="Calibri" w:eastAsia="Calibri" w:hAnsi="Calibri"/>
                <w:b w:val="false"/>
                <w:bCs w:val="false"/>
                <w:i w:val="false"/>
                <w:iCs w:val="false"/>
                <w:caps w:val="false"/>
                <w:color w:val="22303F"/>
                <w:sz w:val="18"/>
                <w:szCs w:val="18"/>
              </w:rPr>
              <w:t xml:space="preserve">Arsitektur Tableau Server, perancangan topologi &amp; optimasi performa</w:t>
            </w:r>
          </w:p>
          <w:p>
            <w:pPr>
              <w:pStyle w:val="ListParagraph"/>
              <w:numPr>
                <w:ilvl w:val="0"/>
                <w:numId w:val="3"/>
              </w:numPr>
              <w:spacing w:after="45" w:before="0" w:line="250" w:lineRule="auto"/>
            </w:pPr>
            <w:r>
              <w:rPr>
                <w:rFonts w:ascii="Calibri" w:cs="Calibri" w:eastAsia="Calibri" w:hAnsi="Calibri"/>
                <w:b w:val="false"/>
                <w:bCs w:val="false"/>
                <w:i w:val="false"/>
                <w:iCs w:val="false"/>
                <w:caps w:val="false"/>
                <w:color w:val="22303F"/>
                <w:sz w:val="18"/>
                <w:szCs w:val="18"/>
              </w:rPr>
              <w:t xml:space="preserve">Preventive &amp; corrective maintenance serta analisis akar masalah</w:t>
            </w:r>
          </w:p>
          <w:p>
            <w:pPr>
              <w:pStyle w:val="ListParagraph"/>
              <w:numPr>
                <w:ilvl w:val="0"/>
                <w:numId w:val="3"/>
              </w:numPr>
              <w:spacing w:after="45" w:before="0" w:line="250" w:lineRule="auto"/>
            </w:pPr>
            <w:r>
              <w:rPr>
                <w:rFonts w:ascii="Calibri" w:cs="Calibri" w:eastAsia="Calibri" w:hAnsi="Calibri"/>
                <w:b w:val="false"/>
                <w:bCs w:val="false"/>
                <w:i w:val="false"/>
                <w:iCs w:val="false"/>
                <w:caps w:val="false"/>
                <w:color w:val="22303F"/>
                <w:sz w:val="18"/>
                <w:szCs w:val="18"/>
              </w:rPr>
              <w:t xml:space="preserve">Perancangan dan migrasi infrastruktur cloud maupun on-premises</w:t>
            </w:r>
          </w:p>
          <w:p>
            <w:pPr>
              <w:pStyle w:val="ListParagraph"/>
              <w:numPr>
                <w:ilvl w:val="0"/>
                <w:numId w:val="3"/>
              </w:numPr>
              <w:spacing w:after="45" w:before="0" w:line="250" w:lineRule="auto"/>
            </w:pPr>
            <w:r>
              <w:rPr>
                <w:rFonts w:ascii="Calibri" w:cs="Calibri" w:eastAsia="Calibri" w:hAnsi="Calibri"/>
                <w:b w:val="false"/>
                <w:bCs w:val="false"/>
                <w:i w:val="false"/>
                <w:iCs w:val="false"/>
                <w:caps w:val="false"/>
                <w:color w:val="22303F"/>
                <w:sz w:val="18"/>
                <w:szCs w:val="18"/>
              </w:rPr>
              <w:t xml:space="preserve">High availability, clustering, dan kesiapan disaster recovery</w:t>
            </w:r>
          </w:p>
          <w:p>
            <w:pPr>
              <w:pStyle w:val="ListParagraph"/>
              <w:numPr>
                <w:ilvl w:val="0"/>
                <w:numId w:val="3"/>
              </w:numPr>
              <w:spacing w:after="45" w:before="0" w:line="250" w:lineRule="auto"/>
            </w:pPr>
            <w:r>
              <w:rPr>
                <w:rFonts w:ascii="Calibri" w:cs="Calibri" w:eastAsia="Calibri" w:hAnsi="Calibri"/>
                <w:b w:val="false"/>
                <w:bCs w:val="false"/>
                <w:i w:val="false"/>
                <w:iCs w:val="false"/>
                <w:caps w:val="false"/>
                <w:color w:val="22303F"/>
                <w:sz w:val="18"/>
                <w:szCs w:val="18"/>
              </w:rPr>
              <w:t xml:space="preserve">Infrastructure as Code dengan Proxmox, LXC, dan Docker</w:t>
            </w:r>
          </w:p>
          <w:p>
            <w:pPr>
              <w:pStyle w:val="ListParagraph"/>
              <w:numPr>
                <w:ilvl w:val="0"/>
                <w:numId w:val="3"/>
              </w:numPr>
              <w:spacing w:after="45" w:before="0" w:line="250" w:lineRule="auto"/>
            </w:pPr>
            <w:r>
              <w:rPr>
                <w:rFonts w:ascii="Calibri" w:cs="Calibri" w:eastAsia="Calibri" w:hAnsi="Calibri"/>
                <w:b w:val="false"/>
                <w:bCs w:val="false"/>
                <w:i w:val="false"/>
                <w:iCs w:val="false"/>
                <w:caps w:val="false"/>
                <w:color w:val="22303F"/>
                <w:sz w:val="18"/>
                <w:szCs w:val="18"/>
              </w:rPr>
              <w:t xml:space="preserve">Identitas &amp; akses: SAML, SSO, Kerberos, Active Directory, Azure AD</w:t>
            </w:r>
          </w:p>
          <w:p>
            <w:pPr>
              <w:pStyle w:val="ListParagraph"/>
              <w:numPr>
                <w:ilvl w:val="0"/>
                <w:numId w:val="3"/>
              </w:numPr>
              <w:spacing w:after="45" w:before="0" w:line="250" w:lineRule="auto"/>
            </w:pPr>
            <w:r>
              <w:rPr>
                <w:rFonts w:ascii="Calibri" w:cs="Calibri" w:eastAsia="Calibri" w:hAnsi="Calibri"/>
                <w:b w:val="false"/>
                <w:bCs w:val="false"/>
                <w:i w:val="false"/>
                <w:iCs w:val="false"/>
                <w:caps w:val="false"/>
                <w:color w:val="22303F"/>
                <w:sz w:val="18"/>
                <w:szCs w:val="18"/>
              </w:rPr>
              <w:t xml:space="preserve">Administrasi basis data dan optimasi performa kueri</w:t>
            </w:r>
          </w:p>
          <w:p>
            <w:pPr>
              <w:pStyle w:val="ListParagraph"/>
              <w:numPr>
                <w:ilvl w:val="0"/>
                <w:numId w:val="3"/>
              </w:numPr>
              <w:spacing w:after="45" w:before="0" w:line="250" w:lineRule="auto"/>
            </w:pPr>
            <w:r>
              <w:rPr>
                <w:rFonts w:ascii="Calibri" w:cs="Calibri" w:eastAsia="Calibri" w:hAnsi="Calibri"/>
                <w:b w:val="false"/>
                <w:bCs w:val="false"/>
                <w:i w:val="false"/>
                <w:iCs w:val="false"/>
                <w:caps w:val="false"/>
                <w:color w:val="22303F"/>
                <w:sz w:val="18"/>
                <w:szCs w:val="18"/>
              </w:rPr>
              <w:t xml:space="preserve">Perancangan ETL, validasi data, data mapping, dan UAT</w:t>
            </w:r>
          </w:p>
          <w:p>
            <w:pPr>
              <w:pStyle w:val="ListParagraph"/>
              <w:numPr>
                <w:ilvl w:val="0"/>
                <w:numId w:val="3"/>
              </w:numPr>
              <w:spacing w:after="45" w:before="0" w:line="250" w:lineRule="auto"/>
            </w:pPr>
            <w:r>
              <w:rPr>
                <w:rFonts w:ascii="Calibri" w:cs="Calibri" w:eastAsia="Calibri" w:hAnsi="Calibri"/>
                <w:b w:val="false"/>
                <w:bCs w:val="false"/>
                <w:i w:val="false"/>
                <w:iCs w:val="false"/>
                <w:caps w:val="false"/>
                <w:color w:val="22303F"/>
                <w:sz w:val="18"/>
                <w:szCs w:val="18"/>
              </w:rPr>
              <w:t xml:space="preserve">Otomasi proses dengan Python, cron, dan n8n</w:t>
            </w:r>
          </w:p>
          <w:p>
            <w:pPr>
              <w:pStyle w:val="ListParagraph"/>
              <w:numPr>
                <w:ilvl w:val="0"/>
                <w:numId w:val="3"/>
              </w:numPr>
              <w:spacing w:after="45" w:before="0" w:line="250" w:lineRule="auto"/>
            </w:pPr>
            <w:r>
              <w:rPr>
                <w:rFonts w:ascii="Calibri" w:cs="Calibri" w:eastAsia="Calibri" w:hAnsi="Calibri"/>
                <w:b w:val="false"/>
                <w:bCs w:val="false"/>
                <w:i w:val="false"/>
                <w:iCs w:val="false"/>
                <w:caps w:val="false"/>
                <w:color w:val="22303F"/>
                <w:sz w:val="18"/>
                <w:szCs w:val="18"/>
              </w:rPr>
              <w:t xml:space="preserve">Arsitektur solusi AI/LLM dan penerapan model secara self-hosted</w:t>
            </w:r>
          </w:p>
          <w:p>
            <w:pPr>
              <w:pStyle w:val="ListParagraph"/>
              <w:numPr>
                <w:ilvl w:val="0"/>
                <w:numId w:val="3"/>
              </w:numPr>
              <w:spacing w:after="45" w:before="0" w:line="250" w:lineRule="auto"/>
            </w:pPr>
            <w:r>
              <w:rPr>
                <w:rFonts w:ascii="Calibri" w:cs="Calibri" w:eastAsia="Calibri" w:hAnsi="Calibri"/>
                <w:b w:val="false"/>
                <w:bCs w:val="false"/>
                <w:i w:val="false"/>
                <w:iCs w:val="false"/>
                <w:caps w:val="false"/>
                <w:color w:val="22303F"/>
                <w:sz w:val="18"/>
                <w:szCs w:val="18"/>
              </w:rPr>
              <w:t xml:space="preserve">Pelatihan klien, dokumentasi, dan transfer pengetahuan</w:t>
            </w:r>
          </w:p>
          <w:p>
            <w:pPr>
              <w:pStyle w:val="ListParagraph"/>
              <w:numPr>
                <w:ilvl w:val="0"/>
                <w:numId w:val="3"/>
              </w:numPr>
              <w:spacing w:after="45" w:before="0" w:line="250" w:lineRule="auto"/>
            </w:pPr>
            <w:r>
              <w:rPr>
                <w:rFonts w:ascii="Calibri" w:cs="Calibri" w:eastAsia="Calibri" w:hAnsi="Calibri"/>
                <w:b w:val="false"/>
                <w:bCs w:val="false"/>
                <w:i w:val="false"/>
                <w:iCs w:val="false"/>
                <w:caps w:val="false"/>
                <w:color w:val="22303F"/>
                <w:sz w:val="18"/>
                <w:szCs w:val="18"/>
              </w:rPr>
              <w:t xml:space="preserve">Koordinasi proyek dan penyusunan dokumentasi implementasi</w:t>
            </w:r>
          </w:p>
          <w:p>
            <w:pPr>
              <w:spacing w:after="40" w:before="0" w:line="20" w:lineRule="auto"/>
            </w:pPr>
          </w:p>
          <w:p>
            <w:pPr>
              <w:keepNext/>
              <w:pBdr>
                <w:left w:val="single" w:color="C89B3C" w:sz="18" w:space="8"/>
              </w:pBdr>
              <w:spacing w:after="100" w:before="180" w:line="240" w:lineRule="auto"/>
              <w:ind w:left="170"/>
            </w:pPr>
            <w:r>
              <w:rPr>
                <w:rFonts w:ascii="Calibri" w:cs="Calibri" w:eastAsia="Calibri" w:hAnsi="Calibri"/>
                <w:b/>
                <w:bCs/>
                <w:i w:val="false"/>
                <w:iCs w:val="false"/>
                <w:caps/>
                <w:color w:val="0B2A4A"/>
                <w:spacing w:val="30"/>
                <w:sz w:val="22"/>
                <w:szCs w:val="22"/>
              </w:rPr>
              <w:t xml:space="preserve">Pengalaman Profesional</w:t>
            </w:r>
          </w:p>
          <w:p>
            <w:pPr>
              <w:keepNext/>
              <w:spacing w:after="20" w:before="0" w:line="250" w:lineRule="auto"/>
            </w:pPr>
            <w:r>
              <w:rPr>
                <w:rFonts w:ascii="Calibri" w:cs="Calibri" w:eastAsia="Calibri" w:hAnsi="Calibri"/>
                <w:b/>
                <w:bCs/>
                <w:i w:val="false"/>
                <w:iCs w:val="false"/>
                <w:caps w:val="false"/>
                <w:color w:val="0B2A4A"/>
                <w:sz w:val="21"/>
                <w:szCs w:val="21"/>
              </w:rPr>
              <w:t xml:space="preserve">System Infrastructure &amp; Architecture Engineer</w:t>
            </w:r>
          </w:p>
          <w:p>
            <w:pPr>
              <w:keepNext/>
              <w:spacing w:after="70" w:before="0" w:line="250" w:lineRule="auto"/>
            </w:pPr>
            <w:r>
              <w:rPr>
                <w:rFonts w:ascii="Calibri" w:cs="Calibri" w:eastAsia="Calibri" w:hAnsi="Calibri"/>
                <w:b/>
                <w:bCs/>
                <w:i w:val="false"/>
                <w:iCs w:val="false"/>
                <w:caps w:val="false"/>
                <w:color w:val="1B7FD1"/>
                <w:sz w:val="19"/>
                <w:szCs w:val="19"/>
              </w:rPr>
              <w:t xml:space="preserve">PT Visidata Anugerah Mitra</w:t>
            </w:r>
            <w:r>
              <w:rPr>
                <w:rFonts w:ascii="Calibri" w:cs="Calibri" w:eastAsia="Calibri" w:hAnsi="Calibri"/>
                <w:b w:val="false"/>
                <w:bCs w:val="false"/>
                <w:i w:val="false"/>
                <w:iCs w:val="false"/>
                <w:caps w:val="false"/>
                <w:color w:val="D3DEE9"/>
                <w:sz w:val="19"/>
                <w:szCs w:val="19"/>
              </w:rPr>
              <w:t xml:space="preserve">   ·   </w:t>
            </w:r>
            <w:r>
              <w:rPr>
                <w:rFonts w:ascii="Calibri" w:cs="Calibri" w:eastAsia="Calibri" w:hAnsi="Calibri"/>
                <w:b w:val="false"/>
                <w:bCs w:val="false"/>
                <w:i/>
                <w:iCs/>
                <w:caps w:val="false"/>
                <w:color w:val="5F7182"/>
                <w:sz w:val="18"/>
                <w:szCs w:val="18"/>
              </w:rPr>
              <w:t xml:space="preserve">2021 — Sekarang</w:t>
            </w:r>
          </w:p>
          <w:p>
            <w:pPr>
              <w:spacing w:after="80" w:before="0" w:line="250" w:lineRule="auto"/>
            </w:pPr>
            <w:r>
              <w:rPr>
                <w:rFonts w:ascii="Calibri" w:cs="Calibri" w:eastAsia="Calibri" w:hAnsi="Calibri"/>
                <w:b w:val="false"/>
                <w:bCs w:val="false"/>
                <w:i/>
                <w:iCs/>
                <w:caps w:val="false"/>
                <w:color w:val="5F7182"/>
                <w:sz w:val="18"/>
                <w:szCs w:val="18"/>
              </w:rPr>
              <w:t xml:space="preserve">Engineer utama untuk implementasi Tableau Server, preventive maintenance, dan penguatan infrastruktur pada 27 klien enterprise dan instansi pemerintah.</w:t>
            </w:r>
          </w:p>
          <w:p>
            <w:pPr>
              <w:pStyle w:val="ListParagraph"/>
              <w:numPr>
                <w:ilvl w:val="0"/>
                <w:numId w:val="3"/>
              </w:numPr>
              <w:spacing w:after="50" w:before="0" w:line="250" w:lineRule="auto"/>
            </w:pPr>
            <w:r>
              <w:rPr>
                <w:rFonts w:ascii="Calibri" w:cs="Calibri" w:eastAsia="Calibri" w:hAnsi="Calibri"/>
                <w:b w:val="false"/>
                <w:bCs w:val="false"/>
                <w:i w:val="false"/>
                <w:iCs w:val="false"/>
                <w:caps w:val="false"/>
                <w:color w:val="22303F"/>
                <w:sz w:val="18"/>
                <w:szCs w:val="18"/>
              </w:rPr>
              <w:t xml:space="preserve">Merancang dan mengembangkan infrastruktur Tableau Server secara menyeluruh serta menyusun dokumentasi proyek sebagai project manager.</w:t>
            </w:r>
          </w:p>
          <w:p>
            <w:pPr>
              <w:pStyle w:val="ListParagraph"/>
              <w:numPr>
                <w:ilvl w:val="0"/>
                <w:numId w:val="3"/>
              </w:numPr>
              <w:spacing w:after="50" w:before="0" w:line="250" w:lineRule="auto"/>
            </w:pPr>
            <w:r>
              <w:rPr>
                <w:rFonts w:ascii="Calibri" w:cs="Calibri" w:eastAsia="Calibri" w:hAnsi="Calibri"/>
                <w:b w:val="false"/>
                <w:bCs w:val="false"/>
                <w:i w:val="false"/>
                <w:iCs w:val="false"/>
                <w:caps w:val="false"/>
                <w:color w:val="22303F"/>
                <w:sz w:val="18"/>
                <w:szCs w:val="18"/>
              </w:rPr>
              <w:t xml:space="preserve">Membangun dan menyesuaikan infrastruktur cloud computing dan on-premises, termasuk perencanaan kapasitas dan sizing lingkungan.</w:t>
            </w:r>
          </w:p>
          <w:p>
            <w:pPr>
              <w:pStyle w:val="ListParagraph"/>
              <w:numPr>
                <w:ilvl w:val="0"/>
                <w:numId w:val="3"/>
              </w:numPr>
              <w:spacing w:after="50" w:before="0" w:line="250" w:lineRule="auto"/>
            </w:pPr>
            <w:r>
              <w:rPr>
                <w:rFonts w:ascii="Calibri" w:cs="Calibri" w:eastAsia="Calibri" w:hAnsi="Calibri"/>
                <w:b w:val="false"/>
                <w:bCs w:val="false"/>
                <w:i w:val="false"/>
                <w:iCs w:val="false"/>
                <w:caps w:val="false"/>
                <w:color w:val="22303F"/>
                <w:sz w:val="18"/>
                <w:szCs w:val="18"/>
              </w:rPr>
              <w:t xml:space="preserve">Menyiapkan lingkungan Proxmox dengan pendekatan infrastructure as code, arsitektur kontainer LXC, dan penerapan berbasis Docker.</w:t>
            </w:r>
          </w:p>
          <w:p>
            <w:pPr>
              <w:pStyle w:val="ListParagraph"/>
              <w:numPr>
                <w:ilvl w:val="0"/>
                <w:numId w:val="3"/>
              </w:numPr>
              <w:spacing w:after="50" w:before="0" w:line="250" w:lineRule="auto"/>
            </w:pPr>
            <w:r>
              <w:rPr>
                <w:rFonts w:ascii="Calibri" w:cs="Calibri" w:eastAsia="Calibri" w:hAnsi="Calibri"/>
                <w:b w:val="false"/>
                <w:bCs w:val="false"/>
                <w:i w:val="false"/>
                <w:iCs w:val="false"/>
                <w:caps w:val="false"/>
                <w:color w:val="22303F"/>
                <w:sz w:val="18"/>
                <w:szCs w:val="18"/>
              </w:rPr>
              <w:t xml:space="preserve">Menerapkan konfigurasi high availability dan clustering agar platform pelaporan kritis tetap tersedia.</w:t>
            </w:r>
          </w:p>
          <w:p>
            <w:pPr>
              <w:pStyle w:val="ListParagraph"/>
              <w:numPr>
                <w:ilvl w:val="0"/>
                <w:numId w:val="3"/>
              </w:numPr>
              <w:spacing w:after="50" w:before="0" w:line="250" w:lineRule="auto"/>
            </w:pPr>
            <w:r>
              <w:rPr>
                <w:rFonts w:ascii="Calibri" w:cs="Calibri" w:eastAsia="Calibri" w:hAnsi="Calibri"/>
                <w:b w:val="false"/>
                <w:bCs w:val="false"/>
                <w:i w:val="false"/>
                <w:iCs w:val="false"/>
                <w:caps w:val="false"/>
                <w:color w:val="22303F"/>
                <w:sz w:val="18"/>
                <w:szCs w:val="18"/>
              </w:rPr>
              <w:t xml:space="preserve">Mengelola basis data pada ClickHouse, PostgreSQL, MySQL, dan Microsoft SQL Server.</w:t>
            </w:r>
          </w:p>
          <w:p>
            <w:pPr>
              <w:pStyle w:val="ListParagraph"/>
              <w:numPr>
                <w:ilvl w:val="0"/>
                <w:numId w:val="3"/>
              </w:numPr>
              <w:spacing w:after="50" w:before="0" w:line="250" w:lineRule="auto"/>
            </w:pPr>
            <w:r>
              <w:rPr>
                <w:rFonts w:ascii="Calibri" w:cs="Calibri" w:eastAsia="Calibri" w:hAnsi="Calibri"/>
                <w:b w:val="false"/>
                <w:bCs w:val="false"/>
                <w:i w:val="false"/>
                <w:iCs w:val="false"/>
                <w:caps w:val="false"/>
                <w:color w:val="22303F"/>
                <w:sz w:val="18"/>
                <w:szCs w:val="18"/>
              </w:rPr>
              <w:t xml:space="preserve">Mengonfigurasi Tableau Bridge pada host Windows maupun Linux, serta mengintegrasikan Azure AD, Active Directory lokal, SMTP, SAML, SSO, dan sertifikat SSL mandiri.</w:t>
            </w:r>
          </w:p>
          <w:p>
            <w:pPr>
              <w:pStyle w:val="ListParagraph"/>
              <w:numPr>
                <w:ilvl w:val="0"/>
                <w:numId w:val="3"/>
              </w:numPr>
              <w:spacing w:after="50" w:before="0" w:line="250" w:lineRule="auto"/>
            </w:pPr>
            <w:r>
              <w:rPr>
                <w:rFonts w:ascii="Calibri" w:cs="Calibri" w:eastAsia="Calibri" w:hAnsi="Calibri"/>
                <w:b w:val="false"/>
                <w:bCs w:val="false"/>
                <w:i w:val="false"/>
                <w:iCs w:val="false"/>
                <w:caps w:val="false"/>
                <w:color w:val="22303F"/>
                <w:sz w:val="18"/>
                <w:szCs w:val="18"/>
              </w:rPr>
              <w:t xml:space="preserve">Mengembangkan dashboard pada Tableau Desktop dan membangun pipeline ETL dengan Tableau Prep dan Pentaho.</w:t>
            </w:r>
          </w:p>
          <w:p>
            <w:pPr>
              <w:pStyle w:val="ListParagraph"/>
              <w:numPr>
                <w:ilvl w:val="0"/>
                <w:numId w:val="3"/>
              </w:numPr>
              <w:spacing w:after="50" w:before="0" w:line="250" w:lineRule="auto"/>
            </w:pPr>
            <w:r>
              <w:rPr>
                <w:rFonts w:ascii="Calibri" w:cs="Calibri" w:eastAsia="Calibri" w:hAnsi="Calibri"/>
                <w:b w:val="false"/>
                <w:bCs w:val="false"/>
                <w:i w:val="false"/>
                <w:iCs w:val="false"/>
                <w:caps w:val="false"/>
                <w:color w:val="22303F"/>
                <w:sz w:val="18"/>
                <w:szCs w:val="18"/>
              </w:rPr>
              <w:t xml:space="preserve">Mengotomasi pekerjaan rutin menggunakan Python, penjadwalan cron, dan workflow n8n.</w:t>
            </w:r>
          </w:p>
          <w:p>
            <w:pPr>
              <w:pStyle w:val="ListParagraph"/>
              <w:numPr>
                <w:ilvl w:val="0"/>
                <w:numId w:val="3"/>
              </w:numPr>
              <w:spacing w:after="50" w:before="0" w:line="250" w:lineRule="auto"/>
            </w:pPr>
            <w:r>
              <w:rPr>
                <w:rFonts w:ascii="Calibri" w:cs="Calibri" w:eastAsia="Calibri" w:hAnsi="Calibri"/>
                <w:b w:val="false"/>
                <w:bCs w:val="false"/>
                <w:i w:val="false"/>
                <w:iCs w:val="false"/>
                <w:caps w:val="false"/>
                <w:color w:val="22303F"/>
                <w:sz w:val="18"/>
                <w:szCs w:val="18"/>
              </w:rPr>
              <w:t xml:space="preserve">Menerapkan aplikasi self-hosted dan layanan LLM lokal dengan Ollama, serta merancang arsitektur bisnis berbantuan AI.</w:t>
            </w:r>
          </w:p>
          <w:p>
            <w:pPr>
              <w:pStyle w:val="ListParagraph"/>
              <w:numPr>
                <w:ilvl w:val="0"/>
                <w:numId w:val="3"/>
              </w:numPr>
              <w:spacing w:after="50" w:before="0" w:line="250" w:lineRule="auto"/>
            </w:pPr>
            <w:r>
              <w:rPr>
                <w:rFonts w:ascii="Calibri" w:cs="Calibri" w:eastAsia="Calibri" w:hAnsi="Calibri"/>
                <w:b w:val="false"/>
                <w:bCs w:val="false"/>
                <w:i w:val="false"/>
                <w:iCs w:val="false"/>
                <w:caps w:val="false"/>
                <w:color w:val="22303F"/>
                <w:sz w:val="18"/>
                <w:szCs w:val="18"/>
              </w:rPr>
              <w:t xml:space="preserve">Mengembangkan aplikasi Android, Windows, dan Flutter untuk kebutuhan internal maupun klien.</w:t>
            </w:r>
          </w:p>
          <w:p>
            <w:pPr>
              <w:pStyle w:val="ListParagraph"/>
              <w:numPr>
                <w:ilvl w:val="0"/>
                <w:numId w:val="3"/>
              </w:numPr>
              <w:spacing w:after="50" w:before="0" w:line="250" w:lineRule="auto"/>
            </w:pPr>
            <w:r>
              <w:rPr>
                <w:rFonts w:ascii="Calibri" w:cs="Calibri" w:eastAsia="Calibri" w:hAnsi="Calibri"/>
                <w:b w:val="false"/>
                <w:bCs w:val="false"/>
                <w:i w:val="false"/>
                <w:iCs w:val="false"/>
                <w:caps w:val="false"/>
                <w:color w:val="22303F"/>
                <w:sz w:val="18"/>
                <w:szCs w:val="18"/>
              </w:rPr>
              <w:t xml:space="preserve">Mengelola pelaksanaan proyek melalui ClickUp dan aplikasi manajemen proyek buatan sendiri.</w:t>
            </w:r>
          </w:p>
          <w:p>
            <w:pPr>
              <w:pBdr>
                <w:bottom w:val="single" w:color="D3DEE9" w:sz="4" w:space="2"/>
              </w:pBdr>
              <w:spacing w:after="140" w:before="60" w:line="20" w:lineRule="auto"/>
            </w:pPr>
          </w:p>
          <w:p>
            <w:pPr>
              <w:keepNext/>
              <w:spacing w:after="20" w:before="0" w:line="250" w:lineRule="auto"/>
            </w:pPr>
            <w:r>
              <w:rPr>
                <w:rFonts w:ascii="Calibri" w:cs="Calibri" w:eastAsia="Calibri" w:hAnsi="Calibri"/>
                <w:b/>
                <w:bCs/>
                <w:i w:val="false"/>
                <w:iCs w:val="false"/>
                <w:caps w:val="false"/>
                <w:color w:val="0B2A4A"/>
                <w:sz w:val="21"/>
                <w:szCs w:val="21"/>
              </w:rPr>
              <w:t xml:space="preserve">Tableau Consultant — Trainer &amp; Developer</w:t>
            </w:r>
          </w:p>
          <w:p>
            <w:pPr>
              <w:keepNext/>
              <w:spacing w:after="70" w:before="0" w:line="250" w:lineRule="auto"/>
            </w:pPr>
            <w:r>
              <w:rPr>
                <w:rFonts w:ascii="Calibri" w:cs="Calibri" w:eastAsia="Calibri" w:hAnsi="Calibri"/>
                <w:b/>
                <w:bCs/>
                <w:i w:val="false"/>
                <w:iCs w:val="false"/>
                <w:caps w:val="false"/>
                <w:color w:val="1B7FD1"/>
                <w:sz w:val="19"/>
                <w:szCs w:val="19"/>
              </w:rPr>
              <w:t xml:space="preserve">Direktorat Jenderal Bea dan Cukai</w:t>
            </w:r>
            <w:r>
              <w:rPr>
                <w:rFonts w:ascii="Calibri" w:cs="Calibri" w:eastAsia="Calibri" w:hAnsi="Calibri"/>
                <w:b w:val="false"/>
                <w:bCs w:val="false"/>
                <w:i w:val="false"/>
                <w:iCs w:val="false"/>
                <w:caps w:val="false"/>
                <w:color w:val="D3DEE9"/>
                <w:sz w:val="19"/>
                <w:szCs w:val="19"/>
              </w:rPr>
              <w:t xml:space="preserve">   ·   </w:t>
            </w:r>
            <w:r>
              <w:rPr>
                <w:rFonts w:ascii="Calibri" w:cs="Calibri" w:eastAsia="Calibri" w:hAnsi="Calibri"/>
                <w:b w:val="false"/>
                <w:bCs w:val="false"/>
                <w:i/>
                <w:iCs/>
                <w:caps w:val="false"/>
                <w:color w:val="5F7182"/>
                <w:sz w:val="18"/>
                <w:szCs w:val="18"/>
              </w:rPr>
              <w:t xml:space="preserve">2022 — 2023 · 1 tahun</w:t>
            </w:r>
          </w:p>
          <w:p>
            <w:pPr>
              <w:spacing w:after="80" w:before="0" w:line="250" w:lineRule="auto"/>
            </w:pPr>
            <w:r>
              <w:rPr>
                <w:rFonts w:ascii="Calibri" w:cs="Calibri" w:eastAsia="Calibri" w:hAnsi="Calibri"/>
                <w:b w:val="false"/>
                <w:bCs w:val="false"/>
                <w:i/>
                <w:iCs/>
                <w:caps w:val="false"/>
                <w:color w:val="5F7182"/>
                <w:sz w:val="18"/>
                <w:szCs w:val="18"/>
              </w:rPr>
              <w:t xml:space="preserve">Konsultan yang bertanggung jawab atas kestabilan lingkungan Tableau sekaligus peningkatan kapabilitas tim internal.</w:t>
            </w:r>
          </w:p>
          <w:p>
            <w:pPr>
              <w:pStyle w:val="ListParagraph"/>
              <w:numPr>
                <w:ilvl w:val="0"/>
                <w:numId w:val="3"/>
              </w:numPr>
              <w:spacing w:after="50" w:before="0" w:line="250" w:lineRule="auto"/>
            </w:pPr>
            <w:r>
              <w:rPr>
                <w:rFonts w:ascii="Calibri" w:cs="Calibri" w:eastAsia="Calibri" w:hAnsi="Calibri"/>
                <w:b w:val="false"/>
                <w:bCs w:val="false"/>
                <w:i w:val="false"/>
                <w:iCs w:val="false"/>
                <w:caps w:val="false"/>
                <w:color w:val="22303F"/>
                <w:sz w:val="18"/>
                <w:szCs w:val="18"/>
              </w:rPr>
              <w:t xml:space="preserve">Memelihara keseluruhan lingkungan server dan menjaga ketersediaan platform.</w:t>
            </w:r>
          </w:p>
          <w:p>
            <w:pPr>
              <w:pStyle w:val="ListParagraph"/>
              <w:numPr>
                <w:ilvl w:val="0"/>
                <w:numId w:val="3"/>
              </w:numPr>
              <w:spacing w:after="50" w:before="0" w:line="250" w:lineRule="auto"/>
            </w:pPr>
            <w:r>
              <w:rPr>
                <w:rFonts w:ascii="Calibri" w:cs="Calibri" w:eastAsia="Calibri" w:hAnsi="Calibri"/>
                <w:b w:val="false"/>
                <w:bCs w:val="false"/>
                <w:i w:val="false"/>
                <w:iCs w:val="false"/>
                <w:caps w:val="false"/>
                <w:color w:val="22303F"/>
                <w:sz w:val="18"/>
                <w:szCs w:val="18"/>
              </w:rPr>
              <w:t xml:space="preserve">Melakukan pemodelan topologi services Tableau Server sesuai beban kerja dan rencana pertumbuhan.</w:t>
            </w:r>
          </w:p>
          <w:p>
            <w:pPr>
              <w:pStyle w:val="ListParagraph"/>
              <w:numPr>
                <w:ilvl w:val="0"/>
                <w:numId w:val="3"/>
              </w:numPr>
              <w:spacing w:after="50" w:before="0" w:line="250" w:lineRule="auto"/>
            </w:pPr>
            <w:r>
              <w:rPr>
                <w:rFonts w:ascii="Calibri" w:cs="Calibri" w:eastAsia="Calibri" w:hAnsi="Calibri"/>
                <w:b w:val="false"/>
                <w:bCs w:val="false"/>
                <w:i w:val="false"/>
                <w:iCs w:val="false"/>
                <w:caps w:val="false"/>
                <w:color w:val="22303F"/>
                <w:sz w:val="18"/>
                <w:szCs w:val="18"/>
              </w:rPr>
              <w:t xml:space="preserve">Mengembangkan lingkungan server on-premises pada Windows maupun Linux.</w:t>
            </w:r>
          </w:p>
          <w:p>
            <w:pPr>
              <w:pStyle w:val="ListParagraph"/>
              <w:numPr>
                <w:ilvl w:val="0"/>
                <w:numId w:val="3"/>
              </w:numPr>
              <w:spacing w:after="50" w:before="0" w:line="250" w:lineRule="auto"/>
            </w:pPr>
            <w:r>
              <w:rPr>
                <w:rFonts w:ascii="Calibri" w:cs="Calibri" w:eastAsia="Calibri" w:hAnsi="Calibri"/>
                <w:b w:val="false"/>
                <w:bCs w:val="false"/>
                <w:i w:val="false"/>
                <w:iCs w:val="false"/>
                <w:caps w:val="false"/>
                <w:color w:val="22303F"/>
                <w:sz w:val="18"/>
                <w:szCs w:val="18"/>
              </w:rPr>
              <w:t xml:space="preserve">Menjalankan preventive maintenance terjadwal dan menyelesaikan gangguan produksi melalui troubleshooting terstruktur.</w:t>
            </w:r>
          </w:p>
          <w:p>
            <w:pPr>
              <w:pStyle w:val="ListParagraph"/>
              <w:numPr>
                <w:ilvl w:val="0"/>
                <w:numId w:val="3"/>
              </w:numPr>
              <w:spacing w:after="50" w:before="0" w:line="250" w:lineRule="auto"/>
            </w:pPr>
            <w:r>
              <w:rPr>
                <w:rFonts w:ascii="Calibri" w:cs="Calibri" w:eastAsia="Calibri" w:hAnsi="Calibri"/>
                <w:b w:val="false"/>
                <w:bCs w:val="false"/>
                <w:i w:val="false"/>
                <w:iCs w:val="false"/>
                <w:caps w:val="false"/>
                <w:color w:val="22303F"/>
                <w:sz w:val="18"/>
                <w:szCs w:val="18"/>
              </w:rPr>
              <w:t xml:space="preserve">Melakukan instalasi dan konfigurasi Kerberos SSO, Active Directory, dan integrasi SMTP.</w:t>
            </w:r>
          </w:p>
          <w:p>
            <w:pPr>
              <w:pStyle w:val="ListParagraph"/>
              <w:numPr>
                <w:ilvl w:val="0"/>
                <w:numId w:val="3"/>
              </w:numPr>
              <w:spacing w:after="50" w:before="0" w:line="250" w:lineRule="auto"/>
            </w:pPr>
            <w:r>
              <w:rPr>
                <w:rFonts w:ascii="Calibri" w:cs="Calibri" w:eastAsia="Calibri" w:hAnsi="Calibri"/>
                <w:b w:val="false"/>
                <w:bCs w:val="false"/>
                <w:i w:val="false"/>
                <w:iCs w:val="false"/>
                <w:caps w:val="false"/>
                <w:color w:val="22303F"/>
                <w:sz w:val="18"/>
                <w:szCs w:val="18"/>
              </w:rPr>
              <w:t xml:space="preserve">Mengotomasi tugas administratif menggunakan Python dan Java.</w:t>
            </w:r>
          </w:p>
          <w:p>
            <w:pPr>
              <w:pStyle w:val="ListParagraph"/>
              <w:numPr>
                <w:ilvl w:val="0"/>
                <w:numId w:val="3"/>
              </w:numPr>
              <w:spacing w:after="50" w:before="0" w:line="250" w:lineRule="auto"/>
            </w:pPr>
            <w:r>
              <w:rPr>
                <w:rFonts w:ascii="Calibri" w:cs="Calibri" w:eastAsia="Calibri" w:hAnsi="Calibri"/>
                <w:b w:val="false"/>
                <w:bCs w:val="false"/>
                <w:i w:val="false"/>
                <w:iCs w:val="false"/>
                <w:caps w:val="false"/>
                <w:color w:val="22303F"/>
                <w:sz w:val="18"/>
                <w:szCs w:val="18"/>
              </w:rPr>
              <w:t xml:space="preserve">Memelihara server dengan pendekatan code as infrastructure agar penerapan konsisten dan mudah diaudit.</w:t>
            </w:r>
          </w:p>
          <w:p>
            <w:pPr>
              <w:pStyle w:val="ListParagraph"/>
              <w:numPr>
                <w:ilvl w:val="0"/>
                <w:numId w:val="3"/>
              </w:numPr>
              <w:spacing w:after="50" w:before="0" w:line="250" w:lineRule="auto"/>
            </w:pPr>
            <w:r>
              <w:rPr>
                <w:rFonts w:ascii="Calibri" w:cs="Calibri" w:eastAsia="Calibri" w:hAnsi="Calibri"/>
                <w:b w:val="false"/>
                <w:bCs w:val="false"/>
                <w:i w:val="false"/>
                <w:iCs w:val="false"/>
                <w:caps w:val="false"/>
                <w:color w:val="22303F"/>
                <w:sz w:val="18"/>
                <w:szCs w:val="18"/>
              </w:rPr>
              <w:t xml:space="preserve">Menyelenggarakan sesi pelatihan dan transfer pengetahuan bagi pengguna internal.</w:t>
            </w:r>
          </w:p>
        </w:tc>
      </w:tr>
    </w:tbl>
    <w:p>
      <w:pPr>
        <w:keepNext/>
        <w:pBdr>
          <w:left w:val="single" w:color="C89B3C" w:sz="18" w:space="8"/>
        </w:pBdr>
        <w:spacing w:after="90" w:before="220" w:line="260" w:lineRule="auto"/>
        <w:ind w:left="170"/>
      </w:pPr>
      <w:r>
        <w:rPr>
          <w:rFonts w:ascii="Calibri" w:cs="Calibri" w:eastAsia="Calibri" w:hAnsi="Calibri"/>
          <w:b/>
          <w:bCs/>
          <w:i w:val="false"/>
          <w:iCs w:val="false"/>
          <w:caps/>
          <w:color w:val="0B2A4A"/>
          <w:spacing w:val="34"/>
          <w:sz w:val="24"/>
          <w:szCs w:val="24"/>
        </w:rPr>
        <w:t xml:space="preserve">Klien &amp; Sektor Utama</w:t>
      </w:r>
    </w:p>
    <w:p>
      <w:pPr>
        <w:keepNext/>
        <w:spacing w:after="110" w:before="0" w:line="250" w:lineRule="auto"/>
      </w:pPr>
      <w:r>
        <w:rPr>
          <w:rFonts w:ascii="Calibri" w:cs="Calibri" w:eastAsia="Calibri" w:hAnsi="Calibri"/>
          <w:b w:val="false"/>
          <w:bCs w:val="false"/>
          <w:i/>
          <w:iCs/>
          <w:caps w:val="false"/>
          <w:color w:val="5F7182"/>
          <w:sz w:val="18"/>
          <w:szCs w:val="18"/>
        </w:rPr>
        <w:t xml:space="preserve">Menangani proyek pada 27 organisasi di sektor jasa keuangan, pemerintahan, telekomunikasi, transportasi, energi, dan manufaktur:</w:t>
      </w:r>
    </w:p>
    <w:tbl>
      <w:tblPr>
        <w:tblW w:type="dxa" w:w="10664"/>
        <w:tblBorders>
          <w:top w:val="none" w:color="FFFFFF" w:sz="0"/>
          <w:left w:val="none" w:color="FFFFFF" w:sz="0"/>
          <w:bottom w:val="none" w:color="FFFFFF" w:sz="0"/>
          <w:right w:val="none" w:color="FFFFFF" w:sz="0"/>
          <w:insideH w:val="none" w:color="FFFFFF" w:sz="0"/>
          <w:insideV w:val="none" w:color="FFFFFF" w:sz="0"/>
        </w:tblBorders>
      </w:tblPr>
      <w:tblGrid>
        <w:gridCol w:w="2666"/>
        <w:gridCol w:w="2666"/>
        <w:gridCol w:w="2666"/>
        <w:gridCol w:w="2666"/>
      </w:tblGrid>
      <w:tr>
        <w:trPr>
          <w:cantSplit/>
        </w:trPr>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Bank Rakyat Indonesia (BRI)</w:t>
            </w:r>
          </w:p>
        </w:tc>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Bank Jatim</w:t>
            </w:r>
          </w:p>
        </w:tc>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QNB Indonesia</w:t>
            </w:r>
          </w:p>
        </w:tc>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BPJS Kesehatan</w:t>
            </w:r>
          </w:p>
        </w:tc>
      </w:tr>
      <w:tr>
        <w:trPr>
          <w:cantSplit/>
        </w:trPr>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Bursa Efek Indonesia</w:t>
            </w:r>
          </w:p>
        </w:tc>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HMF Multifinance</w:t>
            </w:r>
          </w:p>
        </w:tc>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OJK</w:t>
            </w:r>
          </w:p>
        </w:tc>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BPKP</w:t>
            </w:r>
          </w:p>
        </w:tc>
      </w:tr>
      <w:tr>
        <w:trPr>
          <w:cantSplit/>
        </w:trPr>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Kementerian Keuangan RI</w:t>
            </w:r>
          </w:p>
        </w:tc>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Direktorat Jenderal Pajak RI</w:t>
            </w:r>
          </w:p>
        </w:tc>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Direktorat Jenderal Bea dan Cukai</w:t>
            </w:r>
          </w:p>
        </w:tc>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Kementerian PUPR</w:t>
            </w:r>
          </w:p>
        </w:tc>
      </w:tr>
      <w:tr>
        <w:trPr>
          <w:cantSplit/>
        </w:trPr>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Kementerian Kominfo</w:t>
            </w:r>
          </w:p>
        </w:tc>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KPK</w:t>
            </w:r>
          </w:p>
        </w:tc>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BKPM</w:t>
            </w:r>
          </w:p>
        </w:tc>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BKKBN</w:t>
            </w:r>
          </w:p>
        </w:tc>
      </w:tr>
      <w:tr>
        <w:trPr>
          <w:cantSplit/>
        </w:trPr>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SKK Migas</w:t>
            </w:r>
          </w:p>
        </w:tc>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Disdukcapil</w:t>
            </w:r>
          </w:p>
        </w:tc>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Telkomsel</w:t>
            </w:r>
          </w:p>
        </w:tc>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Link Net</w:t>
            </w:r>
          </w:p>
        </w:tc>
      </w:tr>
      <w:tr>
        <w:trPr>
          <w:cantSplit/>
        </w:trPr>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TransJakarta</w:t>
            </w:r>
          </w:p>
        </w:tc>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Pelita Air</w:t>
            </w:r>
          </w:p>
        </w:tc>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tiket.com</w:t>
            </w:r>
          </w:p>
        </w:tc>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Sido Muncul</w:t>
            </w:r>
          </w:p>
        </w:tc>
      </w:tr>
      <w:tr>
        <w:trPr>
          <w:cantSplit/>
        </w:trPr>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Mitsui</w:t>
            </w:r>
          </w:p>
        </w:tc>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Lippo Mall</w:t>
            </w:r>
          </w:p>
        </w:tc>
        <w:tc>
          <w:tcPr>
            <w:tcW w:type="dxa" w:w="2666"/>
            <w:tcBorders>
              <w:top w:val="single" w:color="FFFFFF" w:sz="8"/>
              <w:left w:val="single" w:color="FFFFFF" w:sz="8"/>
              <w:bottom w:val="single" w:color="FFFFFF" w:sz="8"/>
              <w:right w:val="single" w:color="FFFFFF" w:sz="8"/>
            </w:tcBorders>
            <w:shd w:fill="EEF3F9"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Socfindo</w:t>
            </w:r>
          </w:p>
        </w:tc>
        <w:tc>
          <w:tcPr>
            <w:tcW w:type="dxa" w:w="2666"/>
            <w:tcBorders>
              <w:top w:val="single" w:color="FFFFFF" w:sz="8"/>
              <w:left w:val="single" w:color="FFFFFF" w:sz="8"/>
              <w:bottom w:val="single" w:color="FFFFFF" w:sz="8"/>
              <w:right w:val="single" w:color="FFFFFF" w:sz="8"/>
            </w:tcBorders>
            <w:shd w:fill="FFFFFF" w:color="auto" w:val="clear"/>
            <w:tcMar>
              <w:top w:type="dxa" w:w="70"/>
              <w:left w:type="dxa" w:w="90"/>
              <w:bottom w:type="dxa" w:w="70"/>
              <w:right w:type="dxa" w:w="90"/>
            </w:tcMar>
            <w:vAlign w:val="center"/>
          </w:tcPr>
          <w:p>
            <w:pPr>
              <w:spacing w:after="0" w:before="0" w:line="230" w:lineRule="auto"/>
              <w:jc w:val="center"/>
            </w:pPr>
            <w:r>
              <w:rPr>
                <w:rFonts w:ascii="Calibri" w:cs="Calibri" w:eastAsia="Calibri" w:hAnsi="Calibri"/>
                <w:b/>
                <w:bCs/>
                <w:i w:val="false"/>
                <w:iCs w:val="false"/>
                <w:caps w:val="false"/>
                <w:color w:val="14406B"/>
                <w:sz w:val="16"/>
                <w:szCs w:val="16"/>
              </w:rPr>
              <w:t xml:space="preserve"/>
            </w:r>
          </w:p>
        </w:tc>
      </w:tr>
    </w:tbl>
    <w:p>
      <w:r>
        <w:br w:type="page"/>
      </w:r>
    </w:p>
    <w:p>
      <w:pPr>
        <w:spacing w:after="60" w:before="0" w:line="300" w:lineRule="auto"/>
        <w:jc w:val="center"/>
      </w:pPr>
      <w:r>
        <w:rPr>
          <w:rFonts w:ascii="Calibri" w:cs="Calibri" w:eastAsia="Calibri" w:hAnsi="Calibri"/>
          <w:b/>
          <w:bCs/>
          <w:i w:val="false"/>
          <w:iCs w:val="false"/>
          <w:caps/>
          <w:color w:val="0B2A4A"/>
          <w:spacing w:val="40"/>
          <w:sz w:val="30"/>
          <w:szCs w:val="30"/>
        </w:rPr>
        <w:t xml:space="preserve">Galeri Sertifikasi</w:t>
      </w:r>
    </w:p>
    <w:p>
      <w:pPr>
        <w:pBdr>
          <w:bottom w:val="single" w:color="C89B3C" w:sz="8" w:space="10"/>
        </w:pBdr>
        <w:spacing w:after="200" w:before="0" w:line="250" w:lineRule="auto"/>
        <w:jc w:val="center"/>
      </w:pPr>
      <w:r>
        <w:rPr>
          <w:rFonts w:ascii="Calibri" w:cs="Calibri" w:eastAsia="Calibri" w:hAnsi="Calibri"/>
          <w:b w:val="false"/>
          <w:bCs w:val="false"/>
          <w:i/>
          <w:iCs/>
          <w:caps w:val="false"/>
          <w:color w:val="5F7182"/>
          <w:sz w:val="17"/>
          <w:szCs w:val="17"/>
        </w:rPr>
        <w:t xml:space="preserve">Seluruh kredensial berikut dapat diverifikasi melalui sforce.co/verifycerts dengan ID kredensial yang tertera pada masing-masing sertifikat.</w:t>
      </w:r>
    </w:p>
    <w:p>
      <w:pPr>
        <w:spacing w:after="60" w:before="40"/>
        <w:jc w:val="center"/>
      </w:pPr>
      <w:r>
        <w:drawing>
          <wp:inline distT="0" distB="0" distL="0" distR="0">
            <wp:extent cx="5543550" cy="3143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543550" cy="3143250"/>
                    </a:xfrm>
                    <a:prstGeom prst="rect">
                      <a:avLst/>
                    </a:prstGeom>
                  </pic:spPr>
                </pic:pic>
              </a:graphicData>
            </a:graphic>
          </wp:inline>
        </w:drawing>
      </w:r>
    </w:p>
    <w:p>
      <w:pPr>
        <w:spacing w:after="220" w:before="0" w:line="240" w:lineRule="auto"/>
        <w:jc w:val="center"/>
      </w:pPr>
      <w:r>
        <w:rPr>
          <w:rFonts w:ascii="Calibri" w:cs="Calibri" w:eastAsia="Calibri" w:hAnsi="Calibri"/>
          <w:b/>
          <w:bCs/>
          <w:i w:val="false"/>
          <w:iCs w:val="false"/>
          <w:caps w:val="false"/>
          <w:color w:val="0B2A4A"/>
          <w:sz w:val="17"/>
          <w:szCs w:val="17"/>
        </w:rPr>
        <w:t xml:space="preserve">Salesforce Certified Tableau Architect — ID Kredensial 7461264 · Terbit 16 Februari 2026</w:t>
      </w:r>
    </w:p>
    <w:p>
      <w:pPr>
        <w:spacing w:after="60" w:before="40"/>
        <w:jc w:val="center"/>
      </w:pPr>
      <w:r>
        <w:drawing>
          <wp:inline distT="0" distB="0" distL="0" distR="0">
            <wp:extent cx="5619750" cy="2952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619750" cy="2952750"/>
                    </a:xfrm>
                    <a:prstGeom prst="rect">
                      <a:avLst/>
                    </a:prstGeom>
                  </pic:spPr>
                </pic:pic>
              </a:graphicData>
            </a:graphic>
          </wp:inline>
        </w:drawing>
      </w:r>
    </w:p>
    <w:p>
      <w:pPr>
        <w:spacing w:after="220" w:before="0" w:line="240" w:lineRule="auto"/>
        <w:jc w:val="center"/>
      </w:pPr>
      <w:r>
        <w:rPr>
          <w:rFonts w:ascii="Calibri" w:cs="Calibri" w:eastAsia="Calibri" w:hAnsi="Calibri"/>
          <w:b/>
          <w:bCs/>
          <w:i w:val="false"/>
          <w:iCs w:val="false"/>
          <w:caps w:val="false"/>
          <w:color w:val="0B2A4A"/>
          <w:sz w:val="17"/>
          <w:szCs w:val="17"/>
        </w:rPr>
        <w:t xml:space="preserve">Salesforce Certified Tableau Consultant — ID Kredensial 7817322 · Terbit 22 Mei 2026</w:t>
      </w:r>
    </w:p>
    <w:p>
      <w:r>
        <w:br w:type="page"/>
      </w:r>
    </w:p>
    <w:p>
      <w:pPr>
        <w:spacing w:after="60" w:before="40"/>
        <w:jc w:val="center"/>
      </w:pPr>
      <w:r>
        <w:drawing>
          <wp:inline distT="0" distB="0" distL="0" distR="0">
            <wp:extent cx="5581650" cy="3143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581650" cy="3143250"/>
                    </a:xfrm>
                    <a:prstGeom prst="rect">
                      <a:avLst/>
                    </a:prstGeom>
                  </pic:spPr>
                </pic:pic>
              </a:graphicData>
            </a:graphic>
          </wp:inline>
        </w:drawing>
      </w:r>
    </w:p>
    <w:p>
      <w:pPr>
        <w:spacing w:after="220" w:before="0" w:line="240" w:lineRule="auto"/>
        <w:jc w:val="center"/>
      </w:pPr>
      <w:r>
        <w:rPr>
          <w:rFonts w:ascii="Calibri" w:cs="Calibri" w:eastAsia="Calibri" w:hAnsi="Calibri"/>
          <w:b/>
          <w:bCs/>
          <w:i w:val="false"/>
          <w:iCs w:val="false"/>
          <w:caps w:val="false"/>
          <w:color w:val="0B2A4A"/>
          <w:sz w:val="17"/>
          <w:szCs w:val="17"/>
        </w:rPr>
        <w:t xml:space="preserve">Salesforce Certified Tableau Server Administrator — ID Kredensial 7846162 · Terbit 4 Juni 2026</w:t>
      </w:r>
    </w:p>
    <w:p>
      <w:pPr>
        <w:spacing w:after="60" w:before="40"/>
        <w:jc w:val="center"/>
      </w:pPr>
      <w:r>
        <w:drawing>
          <wp:inline distT="0" distB="0" distL="0" distR="0">
            <wp:extent cx="4086225" cy="3143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086225" cy="3143250"/>
                    </a:xfrm>
                    <a:prstGeom prst="rect">
                      <a:avLst/>
                    </a:prstGeom>
                  </pic:spPr>
                </pic:pic>
              </a:graphicData>
            </a:graphic>
          </wp:inline>
        </w:drawing>
      </w:r>
    </w:p>
    <w:p>
      <w:pPr>
        <w:spacing w:after="220" w:before="0" w:line="240" w:lineRule="auto"/>
        <w:jc w:val="center"/>
      </w:pPr>
      <w:r>
        <w:rPr>
          <w:rFonts w:ascii="Calibri" w:cs="Calibri" w:eastAsia="Calibri" w:hAnsi="Calibri"/>
          <w:b/>
          <w:bCs/>
          <w:i w:val="false"/>
          <w:iCs w:val="false"/>
          <w:caps w:val="false"/>
          <w:color w:val="0B2A4A"/>
          <w:sz w:val="17"/>
          <w:szCs w:val="17"/>
        </w:rPr>
        <w:t xml:space="preserve">Alteryx Designer Core Certified — Terbit 26 Maret 2026 · Berlaku s.d. 26 Maret 2028</w:t>
      </w:r>
    </w:p>
    <w:sectPr>
      <w:footerReference w:type="default" r:id="rId7"/>
      <w:pgSz w:w="11906" w:h="16838" w:orient="portrait"/>
      <w:pgMar w:top="500" w:right="620" w:bottom="500" w:left="620" w:header="708" w:footer="2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3DEE9" w:sz="4" w:space="6"/>
      </w:pBdr>
      <w:spacing w:after="0" w:before="0" w:line="240" w:lineRule="auto"/>
      <w:jc w:val="center"/>
    </w:pPr>
    <w:r>
      <w:rPr>
        <w:rFonts w:ascii="Calibri" w:cs="Calibri" w:eastAsia="Calibri" w:hAnsi="Calibri"/>
        <w:b w:val="false"/>
        <w:bCs w:val="false"/>
        <w:i w:val="false"/>
        <w:iCs w:val="false"/>
        <w:caps w:val="false"/>
        <w:color w:val="5F7182"/>
        <w:sz w:val="15"/>
        <w:szCs w:val="15"/>
      </w:rPr>
      <w:t xml:space="preserve">Umar Ali Abdul Said Islami Jahria · Daftar Riwayat Hidup · Halaman </w:t>
    </w:r>
    <w:r>
      <w:rPr>
        <w:rFonts w:ascii="Calibri" w:cs="Calibri" w:eastAsia="Calibri" w:hAnsi="Calibri"/>
        <w:color w:val="5F7182"/>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00" w:hanging="160"/>
      </w:pPr>
      <w:rPr>
        <w:rFonts w:ascii="Calibri" w:cs="Calibri" w:eastAsia="Calibri" w:hAnsi="Calibri"/>
        <w:color w:val="C89B3C"/>
        <w:sz w:val="18"/>
        <w:szCs w:val="18"/>
      </w:rPr>
    </w:lvl>
  </w:abstractNum>
  <w:abstractNum w:abstractNumId="3" w15:restartNumberingAfterBreak="0">
    <w:multiLevelType w:val="hybridMultilevel"/>
    <w:lvl w:ilvl="0" w15:tentative="1">
      <w:start w:val="1"/>
      <w:numFmt w:val="bullet"/>
      <w:lvlText w:val="▪"/>
      <w:lvlJc w:val="left"/>
      <w:pPr>
        <w:ind w:left="190" w:hanging="160"/>
      </w:pPr>
      <w:rPr>
        <w:rFonts w:ascii="Calibri" w:cs="Calibri" w:eastAsia="Calibri" w:hAnsi="Calibri"/>
        <w:color w:val="C89B3C"/>
        <w:sz w:val="17"/>
        <w:szCs w:val="17"/>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303F"/>
        <w:sz w:val="19"/>
        <w:szCs w:val="19"/>
      </w:rPr>
    </w:rPrDefault>
    <w:pPrDefault>
      <w:pPr>
        <w:spacing w:line="25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2fe21ccc7dffab965d4e3b59cb6637c4481796f0.png"/><Relationship Id="rId9" Type="http://schemas.openxmlformats.org/officeDocument/2006/relationships/image" Target="media/c45df5737c368319de53d43259010a5b33d3ecaa.png"/><Relationship Id="rId10" Type="http://schemas.openxmlformats.org/officeDocument/2006/relationships/image" Target="media/b658d38f3f1556bbe0e9d5a33b4aa7bda12594fd.png"/><Relationship Id="rId11" Type="http://schemas.openxmlformats.org/officeDocument/2006/relationships/image" Target="media/1823770e84cd87fad1b8a991a78af46223be66e1.png"/><Relationship Id="rId12" Type="http://schemas.openxmlformats.org/officeDocument/2006/relationships/image" Target="media/fc0b748b3afd72babbed637cecce1cbe6722fa02.png"/><Relationship Id="rId13" Type="http://schemas.openxmlformats.org/officeDocument/2006/relationships/image" Target="media/4b6dd55b3de063c8c71ca7d08ed7c96e0c4cb9b4.png"/><Relationship Id="rId14" Type="http://schemas.openxmlformats.org/officeDocument/2006/relationships/image" Target="media/a31cb0aebaae74bcc494194bc85ecd2fb1b489a7.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Umar Ali Abdul Said Islami Jahria</dc:creator>
  <cp:lastModifiedBy>Un-named</cp:lastModifiedBy>
  <cp:revision>1</cp:revision>
  <dcterms:created xsi:type="dcterms:W3CDTF">2026-08-04T16:14:37.855Z</dcterms:created>
  <dcterms:modified xsi:type="dcterms:W3CDTF">2026-08-04T16:14:37.855Z</dcterms:modified>
</cp:coreProperties>
</file>

<file path=docProps/custom.xml><?xml version="1.0" encoding="utf-8"?>
<Properties xmlns="http://schemas.openxmlformats.org/officeDocument/2006/custom-properties" xmlns:vt="http://schemas.openxmlformats.org/officeDocument/2006/docPropsVTypes"/>
</file>